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bCs/>
          <w:kern w:val="0"/>
          <w:sz w:val="32"/>
          <w:szCs w:val="32"/>
        </w:rPr>
      </w:pPr>
    </w:p>
    <w:p>
      <w:pPr>
        <w:spacing w:line="360" w:lineRule="auto"/>
        <w:jc w:val="center"/>
        <w:rPr>
          <w:rFonts w:ascii="Times New Roman" w:hAnsi="Times New Roman"/>
          <w:b/>
          <w:sz w:val="28"/>
          <w:szCs w:val="30"/>
        </w:rPr>
      </w:pPr>
      <w:r>
        <w:rPr>
          <w:rFonts w:ascii="Times New Roman" w:hAnsi="Times New Roman"/>
          <w:b/>
          <w:sz w:val="28"/>
          <w:szCs w:val="30"/>
        </w:rPr>
        <w:t>【传播学概论】</w:t>
      </w:r>
    </w:p>
    <w:p>
      <w:pPr>
        <w:shd w:val="clear" w:color="auto" w:fill="F5F5F5"/>
        <w:spacing w:line="360" w:lineRule="auto"/>
        <w:jc w:val="center"/>
        <w:textAlignment w:val="top"/>
        <w:rPr>
          <w:rFonts w:ascii="Times New Roman" w:hAnsi="Times New Roman"/>
          <w:color w:val="888888"/>
          <w:kern w:val="0"/>
          <w:sz w:val="20"/>
          <w:szCs w:val="20"/>
        </w:rPr>
      </w:pPr>
      <w:r>
        <w:rPr>
          <w:rFonts w:ascii="Times New Roman" w:hAnsi="Times New Roman"/>
          <w:b/>
          <w:sz w:val="28"/>
          <w:szCs w:val="30"/>
        </w:rPr>
        <w:t>【Introduction to Communication】</w:t>
      </w:r>
      <w:bookmarkStart w:id="0" w:name="a2"/>
      <w:bookmarkEnd w:id="0"/>
    </w:p>
    <w:p>
      <w:pPr>
        <w:spacing w:before="156" w:beforeLines="50" w:after="156" w:afterLines="50" w:line="288" w:lineRule="auto"/>
        <w:ind w:firstLine="360" w:firstLineChars="150"/>
        <w:rPr>
          <w:rFonts w:ascii="Times New Roman" w:hAnsi="Times New Roman"/>
          <w:b/>
          <w:color w:val="008080"/>
          <w:sz w:val="30"/>
          <w:szCs w:val="30"/>
        </w:rPr>
      </w:pPr>
      <w:r>
        <w:rPr>
          <w:rFonts w:ascii="Times New Roman" w:hAnsi="Times New Roman" w:eastAsia="黑体"/>
          <w:sz w:val="24"/>
        </w:rPr>
        <w:t>一、基本信息</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课程代码：</w:t>
      </w:r>
      <w:r>
        <w:rPr>
          <w:rFonts w:ascii="Times New Roman" w:hAnsi="Times New Roman"/>
          <w:color w:val="000000"/>
          <w:sz w:val="20"/>
          <w:szCs w:val="20"/>
        </w:rPr>
        <w:t>【2030302】</w:t>
      </w:r>
    </w:p>
    <w:p>
      <w:pPr>
        <w:snapToGrid w:val="0"/>
        <w:spacing w:line="288" w:lineRule="auto"/>
        <w:ind w:firstLine="394" w:firstLineChars="196"/>
        <w:rPr>
          <w:rFonts w:ascii="Times New Roman" w:hAnsi="Times New Roman"/>
          <w:color w:val="000000"/>
          <w:szCs w:val="21"/>
        </w:rPr>
      </w:pPr>
      <w:r>
        <w:rPr>
          <w:rFonts w:ascii="Times New Roman" w:hAnsi="Times New Roman"/>
          <w:b/>
          <w:bCs/>
          <w:color w:val="000000"/>
          <w:sz w:val="20"/>
          <w:szCs w:val="20"/>
        </w:rPr>
        <w:t>课程学分：</w:t>
      </w:r>
      <w:r>
        <w:rPr>
          <w:rFonts w:ascii="Times New Roman" w:hAnsi="Times New Roman"/>
          <w:color w:val="000000"/>
          <w:sz w:val="20"/>
          <w:szCs w:val="20"/>
        </w:rPr>
        <w:t>【2】</w:t>
      </w:r>
    </w:p>
    <w:p>
      <w:pPr>
        <w:snapToGrid w:val="0"/>
        <w:spacing w:line="288" w:lineRule="auto"/>
        <w:ind w:firstLine="394" w:firstLineChars="196"/>
        <w:rPr>
          <w:rFonts w:ascii="Times New Roman" w:hAnsi="Times New Roman"/>
          <w:color w:val="000000"/>
          <w:szCs w:val="21"/>
        </w:rPr>
      </w:pPr>
      <w:r>
        <w:rPr>
          <w:rFonts w:ascii="Times New Roman" w:hAnsi="Times New Roman"/>
          <w:b/>
          <w:bCs/>
          <w:color w:val="000000"/>
          <w:sz w:val="20"/>
          <w:szCs w:val="20"/>
        </w:rPr>
        <w:t>面向专业：</w:t>
      </w:r>
      <w:r>
        <w:rPr>
          <w:rFonts w:ascii="Times New Roman" w:hAnsi="Times New Roman"/>
          <w:color w:val="000000"/>
          <w:sz w:val="20"/>
          <w:szCs w:val="20"/>
        </w:rPr>
        <w:t>【传播学】</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课程性质：</w:t>
      </w:r>
      <w:r>
        <w:rPr>
          <w:rFonts w:ascii="Times New Roman" w:hAnsi="Times New Roman"/>
          <w:color w:val="000000"/>
          <w:sz w:val="20"/>
          <w:szCs w:val="20"/>
        </w:rPr>
        <w:t>【系级必修课】</w:t>
      </w:r>
    </w:p>
    <w:p>
      <w:pPr>
        <w:snapToGrid w:val="0"/>
        <w:spacing w:line="288" w:lineRule="auto"/>
        <w:ind w:firstLine="394" w:firstLineChars="196"/>
        <w:rPr>
          <w:rFonts w:ascii="Times New Roman" w:hAnsi="Times New Roman"/>
          <w:b/>
          <w:bCs/>
          <w:color w:val="000000"/>
          <w:szCs w:val="21"/>
        </w:rPr>
      </w:pPr>
      <w:r>
        <w:rPr>
          <w:rFonts w:ascii="Times New Roman" w:hAnsi="Times New Roman"/>
          <w:b/>
          <w:bCs/>
          <w:color w:val="000000"/>
          <w:sz w:val="20"/>
          <w:szCs w:val="20"/>
        </w:rPr>
        <w:t>开课院系：新闻传播学院传播系</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imes New Roman" w:hAnsi="Times New Roman"/>
          <w:b/>
          <w:bCs/>
          <w:color w:val="000000"/>
          <w:sz w:val="20"/>
          <w:szCs w:val="20"/>
        </w:rPr>
        <w:t>使用教材：</w:t>
      </w:r>
    </w:p>
    <w:p>
      <w:pPr>
        <w:snapToGrid w:val="0"/>
        <w:spacing w:line="288" w:lineRule="auto"/>
        <w:ind w:firstLine="792" w:firstLineChars="396"/>
        <w:rPr>
          <w:rFonts w:ascii="Times New Roman" w:hAnsi="Times New Roman"/>
          <w:color w:val="000000"/>
          <w:szCs w:val="21"/>
        </w:rPr>
      </w:pPr>
      <w:r>
        <w:rPr>
          <w:rFonts w:ascii="Times New Roman" w:hAnsi="Times New Roman"/>
          <w:color w:val="000000"/>
          <w:sz w:val="20"/>
          <w:szCs w:val="20"/>
        </w:rPr>
        <w:t>教材【《传播学原理》，张国良，复旦大学出版社2017年版】</w:t>
      </w:r>
    </w:p>
    <w:p>
      <w:pPr>
        <w:snapToGrid w:val="0"/>
        <w:spacing w:line="288" w:lineRule="auto"/>
        <w:ind w:left="720" w:firstLine="100" w:firstLineChars="50"/>
        <w:rPr>
          <w:rFonts w:ascii="Times New Roman" w:hAnsi="Times New Roman"/>
          <w:color w:val="000000"/>
          <w:sz w:val="20"/>
          <w:szCs w:val="20"/>
        </w:rPr>
      </w:pPr>
      <w:r>
        <w:rPr>
          <w:rFonts w:ascii="Times New Roman" w:hAnsi="Times New Roman"/>
          <w:color w:val="000000"/>
          <w:sz w:val="20"/>
          <w:szCs w:val="20"/>
        </w:rPr>
        <w:t>参考书目【《传播学概论》，孙庚，中国人民大学出版社2014】</w:t>
      </w:r>
    </w:p>
    <w:p>
      <w:pPr>
        <w:snapToGrid w:val="0"/>
        <w:spacing w:line="288" w:lineRule="auto"/>
        <w:ind w:firstLine="1600" w:firstLineChars="800"/>
        <w:rPr>
          <w:rFonts w:ascii="Times New Roman" w:hAnsi="Times New Roman"/>
          <w:color w:val="000000"/>
          <w:sz w:val="20"/>
          <w:szCs w:val="20"/>
        </w:rPr>
      </w:pPr>
      <w:r>
        <w:rPr>
          <w:rFonts w:ascii="Times New Roman" w:hAnsi="Times New Roman"/>
          <w:color w:val="000000"/>
          <w:sz w:val="20"/>
          <w:szCs w:val="20"/>
        </w:rPr>
        <w:t>【《传播学概论》，李凌凌，郑州大学出版社2014】</w:t>
      </w:r>
    </w:p>
    <w:p>
      <w:pPr>
        <w:snapToGrid w:val="0"/>
        <w:spacing w:line="288" w:lineRule="auto"/>
        <w:ind w:firstLine="1600" w:firstLineChars="800"/>
        <w:rPr>
          <w:rFonts w:ascii="Times New Roman" w:hAnsi="Times New Roman"/>
          <w:color w:val="000000"/>
          <w:sz w:val="20"/>
          <w:szCs w:val="20"/>
        </w:rPr>
      </w:pPr>
      <w:r>
        <w:rPr>
          <w:rFonts w:ascii="Times New Roman" w:hAnsi="Times New Roman"/>
          <w:color w:val="000000"/>
          <w:sz w:val="20"/>
          <w:szCs w:val="20"/>
        </w:rPr>
        <w:t>【《传播学通论》，戴元光、金冠军，上海交通大学出版社2015】</w:t>
      </w:r>
    </w:p>
    <w:p>
      <w:pPr>
        <w:snapToGrid w:val="0"/>
        <w:spacing w:line="288" w:lineRule="auto"/>
        <w:ind w:firstLine="300" w:firstLineChars="150"/>
        <w:rPr>
          <w:rFonts w:ascii="Times New Roman" w:hAnsi="Times New Roman"/>
          <w:b/>
          <w:bCs/>
          <w:color w:val="000000"/>
          <w:sz w:val="20"/>
          <w:szCs w:val="20"/>
        </w:rPr>
      </w:pPr>
      <w:r>
        <w:rPr>
          <w:rFonts w:ascii="Times New Roman" w:hAnsi="Times New Roman"/>
          <w:color w:val="000000"/>
          <w:sz w:val="20"/>
          <w:szCs w:val="20"/>
        </w:rPr>
        <w:t xml:space="preserve"> </w:t>
      </w:r>
      <w:r>
        <w:rPr>
          <w:rFonts w:ascii="Times New Roman" w:hAnsi="Times New Roman"/>
          <w:b/>
          <w:bCs/>
          <w:color w:val="000000"/>
          <w:sz w:val="20"/>
          <w:szCs w:val="20"/>
        </w:rPr>
        <w:t>课程网站网址：</w:t>
      </w:r>
    </w:p>
    <w:p>
      <w:pPr>
        <w:snapToGrid w:val="0"/>
        <w:spacing w:line="288" w:lineRule="auto"/>
        <w:ind w:firstLine="400" w:firstLineChars="200"/>
        <w:rPr>
          <w:rFonts w:ascii="Times New Roman" w:hAnsi="Times New Roman"/>
          <w:color w:val="000000"/>
          <w:sz w:val="20"/>
          <w:szCs w:val="20"/>
          <w:highlight w:val="yellow"/>
        </w:rPr>
      </w:pPr>
      <w:r>
        <w:rPr>
          <w:rFonts w:ascii="Times New Roman" w:hAnsi="Times New Roman"/>
          <w:color w:val="000000"/>
          <w:sz w:val="20"/>
          <w:szCs w:val="20"/>
        </w:rPr>
        <w:t>https://elearning.gench.edu.cn:8443/webapps/bb-group-mgmt-LEARN/execute/groupInventoryList?course_id=_14346_1&amp;mode=cpview</w:t>
      </w:r>
    </w:p>
    <w:p>
      <w:pPr>
        <w:adjustRightInd w:val="0"/>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先修课程：</w:t>
      </w:r>
      <w:r>
        <w:rPr>
          <w:rFonts w:ascii="Times New Roman" w:hAnsi="Times New Roman"/>
          <w:color w:val="000000"/>
          <w:sz w:val="20"/>
          <w:szCs w:val="20"/>
        </w:rPr>
        <w:t>【无】</w:t>
      </w:r>
    </w:p>
    <w:p>
      <w:pPr>
        <w:adjustRightInd w:val="0"/>
        <w:snapToGrid w:val="0"/>
        <w:spacing w:before="156" w:beforeLines="50" w:after="156" w:afterLines="50" w:line="288" w:lineRule="auto"/>
        <w:ind w:firstLine="348" w:firstLineChars="145"/>
        <w:rPr>
          <w:rFonts w:ascii="Times New Roman" w:hAnsi="Times New Roman" w:eastAsia="黑体"/>
          <w:sz w:val="24"/>
        </w:rPr>
      </w:pPr>
      <w:r>
        <w:rPr>
          <w:rFonts w:ascii="Times New Roman" w:hAnsi="Times New Roman" w:eastAsia="黑体"/>
          <w:sz w:val="24"/>
        </w:rPr>
        <w:t>二、课程简介</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传播学概论》是传播学专业的基础必修课，它是一门探索和揭示人类传播的本质和规律的学科，也是传播研究者对人类传播现象和传播研究成果进行系统分析和有机整合而成的知识体系，它将为学生起到知识向导、学科理论铺垫以及开拓视野的作用。</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本课程系统讲授人类传播发展的历史、特点及形态，以及传播学研究的对象；传播学研究发展的历史及现状；人类信息传播的过程及模式，传播过程中各要素的相互作用；关于大众传播的相关理论，包括大众传播者、大众传播媒介、大众传播的受众、效果及其在现代社会中的表现和运用。</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通过本课程的学习，学生应掌握传播学的基本理论和基本传播技巧，明确传播与信息、传播与符号的关系，能够理论联系实际，结合课堂教学，培养学生今后在实践中自主运用传播策略与传播技巧的创新能力。</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三、选课建议</w:t>
      </w:r>
    </w:p>
    <w:p>
      <w:pPr>
        <w:snapToGrid w:val="0"/>
        <w:spacing w:line="360" w:lineRule="auto"/>
        <w:ind w:firstLine="400" w:firstLineChars="200"/>
        <w:rPr>
          <w:rFonts w:ascii="Times New Roman" w:hAnsi="Times New Roman"/>
          <w:color w:val="000000"/>
          <w:sz w:val="20"/>
          <w:szCs w:val="20"/>
        </w:rPr>
      </w:pPr>
      <w:r>
        <w:rPr>
          <w:rFonts w:ascii="Times New Roman" w:hAnsi="Times New Roman"/>
          <w:color w:val="000000"/>
          <w:sz w:val="20"/>
          <w:szCs w:val="20"/>
        </w:rPr>
        <w:t>本课程适合传播学专业一年级学生学习。</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四、课程与专业毕业要求的关联性</w:t>
      </w:r>
    </w:p>
    <w:tbl>
      <w:tblPr>
        <w:tblStyle w:val="7"/>
        <w:tblpPr w:leftFromText="180" w:rightFromText="180" w:vertAnchor="text" w:horzAnchor="page" w:tblpX="1916" w:tblpY="242"/>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288" w:lineRule="auto"/>
              <w:jc w:val="center"/>
              <w:rPr>
                <w:rFonts w:ascii="Times New Roman" w:hAnsi="Times New Roman" w:eastAsia="黑体"/>
                <w:kern w:val="0"/>
                <w:sz w:val="20"/>
                <w:szCs w:val="20"/>
              </w:rPr>
            </w:pPr>
            <w:r>
              <w:rPr>
                <w:rFonts w:ascii="Times New Roman" w:hAnsi="Times New Roman" w:eastAsia="黑体"/>
                <w:kern w:val="0"/>
                <w:sz w:val="20"/>
                <w:szCs w:val="20"/>
              </w:rPr>
              <w:t>专业毕业要求</w:t>
            </w:r>
          </w:p>
        </w:tc>
        <w:tc>
          <w:tcPr>
            <w:tcW w:w="1068" w:type="dxa"/>
          </w:tcPr>
          <w:p>
            <w:pPr>
              <w:spacing w:line="288" w:lineRule="auto"/>
              <w:jc w:val="center"/>
              <w:rPr>
                <w:rFonts w:ascii="Times New Roman" w:hAnsi="Times New Roman" w:eastAsiaTheme="minorEastAsia"/>
                <w:kern w:val="0"/>
                <w:sz w:val="20"/>
                <w:szCs w:val="20"/>
              </w:rPr>
            </w:pPr>
            <w:r>
              <w:rPr>
                <w:rFonts w:ascii="Times New Roman" w:hAnsi="Times New Roman" w:eastAsia="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LO11：理解他人的观点，尊重他人的价值观，能在不同场合用书面或口头形式进行有效沟通。</w:t>
            </w:r>
          </w:p>
        </w:tc>
        <w:tc>
          <w:tcPr>
            <w:tcW w:w="1068" w:type="dxa"/>
            <w:vAlign w:val="center"/>
          </w:tcPr>
          <w:p>
            <w:pPr>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LO21：学生能根据环境需要确定自己的学习目标，并主动地通过搜集信息、分析信息、讨论、实践、质疑、创造等方法来实现学习目标。</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LO31：</w:t>
            </w:r>
            <w:r>
              <w:rPr>
                <w:rFonts w:ascii="Times New Roman" w:hAnsi="Times New Roman" w:eastAsiaTheme="minorEastAsia"/>
                <w:bCs/>
                <w:color w:val="000000"/>
                <w:kern w:val="0"/>
                <w:sz w:val="20"/>
                <w:szCs w:val="20"/>
              </w:rPr>
              <w:t>传播理论：掌握传播学的核心理论、基本知识。</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r>
              <w:rPr>
                <w:rFonts w:ascii="Times New Roman" w:hAnsi="Times New Roman"/>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LO32：</w:t>
            </w:r>
            <w:r>
              <w:rPr>
                <w:rFonts w:ascii="Times New Roman" w:hAnsi="Times New Roman" w:eastAsiaTheme="minorEastAsia"/>
                <w:bCs/>
                <w:color w:val="000000"/>
                <w:kern w:val="0"/>
                <w:sz w:val="20"/>
                <w:szCs w:val="20"/>
              </w:rPr>
              <w:t>视频制作：掌握视频内容的策划、拍摄、后期制作，具备传播视觉化信息的基本能力。</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r>
              <w:rPr>
                <w:rFonts w:ascii="Times New Roman" w:hAnsi="Times New Roman"/>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LO33：</w:t>
            </w:r>
            <w:r>
              <w:rPr>
                <w:rFonts w:ascii="Times New Roman" w:hAnsi="Times New Roman" w:eastAsiaTheme="minorEastAsia"/>
                <w:bCs/>
                <w:color w:val="000000"/>
                <w:kern w:val="0"/>
                <w:sz w:val="20"/>
                <w:szCs w:val="20"/>
              </w:rPr>
              <w:t>文本写作：根据不同传播渠道的规范要求，具备基本的文本写作能力。</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LO34：</w:t>
            </w:r>
            <w:r>
              <w:rPr>
                <w:rFonts w:ascii="Times New Roman" w:hAnsi="Times New Roman" w:eastAsiaTheme="minorEastAsia"/>
                <w:bCs/>
                <w:color w:val="000000"/>
                <w:kern w:val="0"/>
                <w:sz w:val="20"/>
                <w:szCs w:val="20"/>
              </w:rPr>
              <w:t>新媒体运营：掌握互联网和移动互联网各类媒体工具的使用，具备新媒体的日常运营能力。</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r>
              <w:rPr>
                <w:rFonts w:ascii="Times New Roman" w:hAnsi="Times New Roman"/>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LO35：</w:t>
            </w:r>
            <w:r>
              <w:rPr>
                <w:rFonts w:ascii="Times New Roman" w:hAnsi="Times New Roman" w:eastAsiaTheme="minorEastAsia"/>
                <w:bCs/>
                <w:color w:val="000000"/>
                <w:kern w:val="0"/>
                <w:sz w:val="20"/>
                <w:szCs w:val="20"/>
              </w:rPr>
              <w:t>人文素养：对文学、绘画、影视、音乐、戏剧等文化艺术具有基本的鉴赏能力，体现出媒介内容制作的质量和品位。</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LO41：遵守纪律、守信守责；具有耐挫折、抗压力的能力。</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LO51：同群体保持良好的合作关系，做集体中的积极成员；善于从多个维度思考问题，利用自己的知识与实践来提出新设想。</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r>
              <w:rPr>
                <w:rFonts w:ascii="Times New Roman" w:hAnsi="Times New Roman"/>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262"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LO61：具备一定的信息素养，并能在工作中应用信息技术解决问题。</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LO71：</w:t>
            </w:r>
            <w:r>
              <w:rPr>
                <w:rFonts w:ascii="Times New Roman" w:hAnsi="Times New Roman" w:eastAsiaTheme="minorEastAsia"/>
                <w:kern w:val="0"/>
                <w:sz w:val="20"/>
                <w:szCs w:val="20"/>
              </w:rPr>
              <w:t>愿意</w:t>
            </w:r>
            <w:r>
              <w:rPr>
                <w:rFonts w:ascii="Times New Roman" w:hAnsi="Times New Roman" w:eastAsiaTheme="minorEastAsia"/>
                <w:color w:val="000000"/>
                <w:kern w:val="0"/>
                <w:sz w:val="20"/>
                <w:szCs w:val="20"/>
              </w:rPr>
              <w:t>服务他人、服务企业、服务社会；为人热忱，富于爱心，懂得感恩</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color w:val="000000"/>
                <w:kern w:val="0"/>
                <w:sz w:val="20"/>
                <w:szCs w:val="20"/>
              </w:rPr>
              <w:t>LO81：具有基本的外语表达沟通能力与跨文化理解能力，有国际竞争与合作的意识。</w:t>
            </w:r>
          </w:p>
        </w:tc>
        <w:tc>
          <w:tcPr>
            <w:tcW w:w="1068" w:type="dxa"/>
            <w:vAlign w:val="center"/>
          </w:tcPr>
          <w:p>
            <w:pPr>
              <w:widowControl/>
              <w:spacing w:line="288" w:lineRule="auto"/>
              <w:jc w:val="center"/>
              <w:rPr>
                <w:rFonts w:ascii="Times New Roman" w:hAnsi="Times New Roman" w:eastAsiaTheme="minorEastAsia"/>
                <w:color w:val="000000"/>
                <w:kern w:val="0"/>
                <w:sz w:val="20"/>
                <w:szCs w:val="20"/>
              </w:rPr>
            </w:pPr>
          </w:p>
        </w:tc>
      </w:tr>
    </w:tbl>
    <w:p>
      <w:pPr>
        <w:widowControl/>
        <w:spacing w:before="156" w:beforeLines="50" w:after="156" w:afterLines="50" w:line="360" w:lineRule="auto"/>
        <w:ind w:firstLine="315" w:firstLineChars="150"/>
        <w:jc w:val="left"/>
        <w:rPr>
          <w:rFonts w:ascii="Times New Roman" w:hAnsi="Times New Roman"/>
        </w:rPr>
      </w:pPr>
    </w:p>
    <w:p>
      <w:pPr>
        <w:widowControl/>
        <w:spacing w:before="156" w:beforeLines="50" w:after="156" w:afterLines="50" w:line="288" w:lineRule="auto"/>
        <w:jc w:val="left"/>
        <w:rPr>
          <w:rFonts w:ascii="Times New Roman" w:hAnsi="Times New Roman" w:eastAsia="黑体"/>
          <w:sz w:val="24"/>
        </w:rPr>
      </w:pPr>
      <w:r>
        <w:rPr>
          <w:rFonts w:ascii="Times New Roman" w:hAnsi="Times New Roman" w:eastAsia="黑体"/>
          <w:sz w:val="24"/>
        </w:rPr>
        <w:t>五、课程目标/课程预期学习成果</w:t>
      </w:r>
    </w:p>
    <w:tbl>
      <w:tblPr>
        <w:tblStyle w:val="6"/>
        <w:tblpPr w:leftFromText="180" w:rightFromText="180" w:vertAnchor="text" w:horzAnchor="page" w:tblpX="1845" w:tblpY="152"/>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175"/>
        <w:gridCol w:w="2470"/>
        <w:gridCol w:w="2199"/>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shd w:val="clear" w:color="auto" w:fill="auto"/>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序号</w:t>
            </w:r>
          </w:p>
        </w:tc>
        <w:tc>
          <w:tcPr>
            <w:tcW w:w="1175" w:type="dxa"/>
            <w:shd w:val="clear" w:color="auto" w:fill="auto"/>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课程预期</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学习成果</w:t>
            </w:r>
          </w:p>
        </w:tc>
        <w:tc>
          <w:tcPr>
            <w:tcW w:w="2470" w:type="dxa"/>
            <w:shd w:val="clear" w:color="auto" w:fill="auto"/>
            <w:vAlign w:val="center"/>
          </w:tcPr>
          <w:p>
            <w:pPr>
              <w:snapToGrid w:val="0"/>
              <w:spacing w:line="288" w:lineRule="auto"/>
              <w:jc w:val="center"/>
              <w:rPr>
                <w:rFonts w:ascii="Times New Roman" w:hAnsi="Times New Roman"/>
                <w:b/>
                <w:color w:val="000000"/>
                <w:sz w:val="20"/>
                <w:szCs w:val="20"/>
                <w:highlight w:val="yellow"/>
              </w:rPr>
            </w:pPr>
            <w:r>
              <w:rPr>
                <w:rFonts w:ascii="Times New Roman" w:hAnsi="Times New Roman"/>
                <w:b/>
                <w:color w:val="000000"/>
                <w:sz w:val="20"/>
                <w:szCs w:val="20"/>
              </w:rPr>
              <w:t>课程目标</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（细化的预期学习成果）</w:t>
            </w:r>
          </w:p>
        </w:tc>
        <w:tc>
          <w:tcPr>
            <w:tcW w:w="2199" w:type="dxa"/>
            <w:shd w:val="clear" w:color="auto" w:fill="auto"/>
            <w:vAlign w:val="center"/>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教与学方式</w:t>
            </w:r>
          </w:p>
        </w:tc>
        <w:tc>
          <w:tcPr>
            <w:tcW w:w="1775" w:type="dxa"/>
            <w:shd w:val="clear" w:color="auto" w:fill="auto"/>
            <w:vAlign w:val="center"/>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1</w:t>
            </w:r>
          </w:p>
        </w:tc>
        <w:tc>
          <w:tcPr>
            <w:tcW w:w="1175"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LO511</w:t>
            </w:r>
          </w:p>
        </w:tc>
        <w:tc>
          <w:tcPr>
            <w:tcW w:w="2470" w:type="dxa"/>
            <w:shd w:val="clear" w:color="auto" w:fill="auto"/>
            <w:vAlign w:val="center"/>
          </w:tcPr>
          <w:p>
            <w:pPr>
              <w:spacing w:line="288" w:lineRule="auto"/>
              <w:rPr>
                <w:rFonts w:ascii="Times New Roman" w:hAnsi="Times New Roman" w:eastAsia="仿宋"/>
                <w:color w:val="000000"/>
                <w:kern w:val="0"/>
                <w:sz w:val="24"/>
              </w:rPr>
            </w:pPr>
            <w:r>
              <w:rPr>
                <w:rFonts w:ascii="Times New Roman" w:hAnsi="Times New Roman" w:eastAsiaTheme="minorEastAsia"/>
                <w:bCs/>
                <w:color w:val="000000"/>
                <w:kern w:val="0"/>
                <w:sz w:val="20"/>
                <w:szCs w:val="20"/>
              </w:rPr>
              <w:t>团队合作完成相关研究任务</w:t>
            </w:r>
          </w:p>
        </w:tc>
        <w:tc>
          <w:tcPr>
            <w:tcW w:w="2199" w:type="dxa"/>
            <w:shd w:val="clear" w:color="auto" w:fill="auto"/>
            <w:vAlign w:val="center"/>
          </w:tcPr>
          <w:p>
            <w:pPr>
              <w:snapToGrid w:val="0"/>
              <w:spacing w:line="288" w:lineRule="auto"/>
              <w:rPr>
                <w:rFonts w:ascii="Times New Roman" w:hAnsi="Times New Roman" w:eastAsia="黑体"/>
                <w:sz w:val="24"/>
              </w:rPr>
            </w:pPr>
            <w:r>
              <w:rPr>
                <w:rFonts w:ascii="Times New Roman" w:hAnsi="Times New Roman" w:eastAsiaTheme="minorEastAsia"/>
                <w:bCs/>
                <w:color w:val="000000"/>
                <w:kern w:val="0"/>
                <w:sz w:val="20"/>
                <w:szCs w:val="20"/>
              </w:rPr>
              <w:t>课堂上讲解受众研究的方法，师生沟通与交流</w:t>
            </w:r>
          </w:p>
        </w:tc>
        <w:tc>
          <w:tcPr>
            <w:tcW w:w="1775" w:type="dxa"/>
            <w:shd w:val="clear" w:color="auto" w:fill="auto"/>
            <w:vAlign w:val="center"/>
          </w:tcPr>
          <w:p>
            <w:pPr>
              <w:snapToGrid w:val="0"/>
              <w:spacing w:line="288" w:lineRule="auto"/>
              <w:rPr>
                <w:rFonts w:ascii="Times New Roman" w:hAnsi="Times New Roman" w:eastAsia="黑体"/>
                <w:sz w:val="24"/>
              </w:rPr>
            </w:pPr>
            <w:r>
              <w:rPr>
                <w:rFonts w:ascii="Times New Roman" w:hAnsi="Times New Roman" w:eastAsiaTheme="minorEastAsia"/>
                <w:bCs/>
                <w:color w:val="000000"/>
                <w:kern w:val="0"/>
                <w:sz w:val="20"/>
                <w:szCs w:val="20"/>
              </w:rPr>
              <w:t>大众传播受众的问卷调查报告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2</w:t>
            </w:r>
          </w:p>
        </w:tc>
        <w:tc>
          <w:tcPr>
            <w:tcW w:w="1175"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LO32</w:t>
            </w:r>
          </w:p>
        </w:tc>
        <w:tc>
          <w:tcPr>
            <w:tcW w:w="2470" w:type="dxa"/>
            <w:shd w:val="clear" w:color="auto" w:fill="auto"/>
            <w:vAlign w:val="center"/>
          </w:tcPr>
          <w:p>
            <w:pPr>
              <w:spacing w:line="288" w:lineRule="auto"/>
              <w:rPr>
                <w:rFonts w:ascii="Times New Roman" w:hAnsi="Times New Roman" w:eastAsiaTheme="minorEastAsia"/>
                <w:bCs/>
                <w:color w:val="000000"/>
                <w:kern w:val="0"/>
                <w:sz w:val="20"/>
                <w:szCs w:val="20"/>
              </w:rPr>
            </w:pPr>
            <w:r>
              <w:rPr>
                <w:rFonts w:ascii="Times New Roman" w:hAnsi="Times New Roman" w:eastAsiaTheme="minorEastAsia"/>
                <w:bCs/>
                <w:color w:val="000000"/>
                <w:kern w:val="0"/>
                <w:sz w:val="20"/>
                <w:szCs w:val="20"/>
              </w:rPr>
              <w:t>掌握大众传播尤其是影视传播的符号系统和言语系统</w:t>
            </w:r>
          </w:p>
        </w:tc>
        <w:tc>
          <w:tcPr>
            <w:tcW w:w="2199" w:type="dxa"/>
            <w:shd w:val="clear" w:color="auto" w:fill="auto"/>
            <w:vAlign w:val="center"/>
          </w:tcPr>
          <w:p>
            <w:pPr>
              <w:snapToGrid w:val="0"/>
              <w:spacing w:line="288" w:lineRule="auto"/>
              <w:rPr>
                <w:rFonts w:ascii="Times New Roman" w:hAnsi="Times New Roman" w:eastAsiaTheme="minorEastAsia"/>
                <w:bCs/>
                <w:color w:val="000000"/>
                <w:kern w:val="0"/>
                <w:sz w:val="20"/>
                <w:szCs w:val="20"/>
              </w:rPr>
            </w:pPr>
            <w:r>
              <w:rPr>
                <w:rFonts w:ascii="Times New Roman" w:hAnsi="Times New Roman" w:eastAsiaTheme="minorEastAsia"/>
                <w:bCs/>
                <w:color w:val="000000"/>
                <w:kern w:val="0"/>
                <w:sz w:val="20"/>
                <w:szCs w:val="20"/>
              </w:rPr>
              <w:t>课堂上讲解</w:t>
            </w:r>
            <w:r>
              <w:rPr>
                <w:rFonts w:ascii="Times New Roman" w:hAnsi="Times New Roman" w:eastAsiaTheme="minorEastAsia"/>
                <w:color w:val="000000"/>
                <w:kern w:val="0"/>
                <w:sz w:val="20"/>
                <w:szCs w:val="20"/>
              </w:rPr>
              <w:t>影视传播中的画面、声音、镜头及各种蒙太奇手法，师生沟通交流</w:t>
            </w:r>
          </w:p>
        </w:tc>
        <w:tc>
          <w:tcPr>
            <w:tcW w:w="1775" w:type="dxa"/>
            <w:shd w:val="clear" w:color="auto" w:fill="auto"/>
            <w:vAlign w:val="center"/>
          </w:tcPr>
          <w:p>
            <w:pPr>
              <w:snapToGrid w:val="0"/>
              <w:spacing w:line="288" w:lineRule="auto"/>
              <w:rPr>
                <w:rFonts w:ascii="Times New Roman" w:hAnsi="Times New Roman" w:eastAsiaTheme="minorEastAsia"/>
                <w:bCs/>
                <w:color w:val="000000"/>
                <w:kern w:val="0"/>
                <w:sz w:val="20"/>
                <w:szCs w:val="20"/>
              </w:rPr>
            </w:pPr>
            <w:r>
              <w:rPr>
                <w:rFonts w:hint="eastAsia" w:ascii="Times New Roman" w:hAnsi="Times New Roman" w:eastAsiaTheme="minorEastAsia"/>
                <w:bCs/>
                <w:color w:val="000000"/>
                <w:kern w:val="0"/>
                <w:sz w:val="20"/>
                <w:szCs w:val="20"/>
              </w:rPr>
              <w:t>视频</w:t>
            </w:r>
            <w:r>
              <w:rPr>
                <w:rFonts w:ascii="Times New Roman" w:hAnsi="Times New Roman" w:eastAsiaTheme="minorEastAsia"/>
                <w:bCs/>
                <w:color w:val="000000"/>
                <w:kern w:val="0"/>
                <w:sz w:val="20"/>
                <w:szCs w:val="20"/>
              </w:rPr>
              <w:t>摄制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3</w:t>
            </w:r>
          </w:p>
        </w:tc>
        <w:tc>
          <w:tcPr>
            <w:tcW w:w="1175"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LO34</w:t>
            </w:r>
          </w:p>
        </w:tc>
        <w:tc>
          <w:tcPr>
            <w:tcW w:w="2470" w:type="dxa"/>
            <w:shd w:val="clear" w:color="auto" w:fill="auto"/>
            <w:vAlign w:val="center"/>
          </w:tcPr>
          <w:p>
            <w:pPr>
              <w:spacing w:line="288" w:lineRule="auto"/>
              <w:rPr>
                <w:rFonts w:ascii="Times New Roman" w:hAnsi="Times New Roman" w:eastAsia="仿宋"/>
                <w:color w:val="000000"/>
                <w:kern w:val="0"/>
                <w:sz w:val="24"/>
              </w:rPr>
            </w:pPr>
            <w:r>
              <w:rPr>
                <w:rFonts w:ascii="Times New Roman" w:hAnsi="Times New Roman" w:eastAsiaTheme="minorEastAsia"/>
                <w:bCs/>
                <w:color w:val="000000"/>
                <w:kern w:val="0"/>
                <w:sz w:val="20"/>
                <w:szCs w:val="20"/>
              </w:rPr>
              <w:t>掌握新媒体传播工具的使用技能</w:t>
            </w:r>
          </w:p>
        </w:tc>
        <w:tc>
          <w:tcPr>
            <w:tcW w:w="2199" w:type="dxa"/>
            <w:shd w:val="clear" w:color="auto" w:fill="auto"/>
            <w:vAlign w:val="center"/>
          </w:tcPr>
          <w:p>
            <w:pPr>
              <w:snapToGrid w:val="0"/>
              <w:spacing w:line="288" w:lineRule="auto"/>
              <w:rPr>
                <w:rFonts w:ascii="Times New Roman" w:hAnsi="Times New Roman" w:eastAsia="黑体"/>
                <w:sz w:val="24"/>
              </w:rPr>
            </w:pPr>
            <w:r>
              <w:rPr>
                <w:rFonts w:ascii="Times New Roman" w:hAnsi="Times New Roman" w:eastAsiaTheme="minorEastAsia"/>
                <w:bCs/>
                <w:color w:val="000000"/>
                <w:kern w:val="0"/>
                <w:sz w:val="20"/>
                <w:szCs w:val="20"/>
              </w:rPr>
              <w:t>课堂上讲解新媒体的发展，师生沟通交流</w:t>
            </w:r>
          </w:p>
        </w:tc>
        <w:tc>
          <w:tcPr>
            <w:tcW w:w="1775" w:type="dxa"/>
            <w:shd w:val="clear" w:color="auto" w:fill="auto"/>
            <w:vAlign w:val="center"/>
          </w:tcPr>
          <w:p>
            <w:pPr>
              <w:snapToGrid w:val="0"/>
              <w:spacing w:line="288" w:lineRule="auto"/>
              <w:rPr>
                <w:rFonts w:ascii="Times New Roman" w:hAnsi="Times New Roman" w:eastAsia="黑体"/>
                <w:sz w:val="24"/>
              </w:rPr>
            </w:pPr>
            <w:r>
              <w:rPr>
                <w:rFonts w:ascii="Times New Roman" w:hAnsi="Times New Roman" w:eastAsiaTheme="minorEastAsia"/>
                <w:bCs/>
                <w:color w:val="000000"/>
                <w:kern w:val="0"/>
                <w:sz w:val="20"/>
                <w:szCs w:val="20"/>
              </w:rPr>
              <w:t>微信H5页面制作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4</w:t>
            </w:r>
          </w:p>
        </w:tc>
        <w:tc>
          <w:tcPr>
            <w:tcW w:w="1175" w:type="dxa"/>
            <w:shd w:val="clear" w:color="auto" w:fill="auto"/>
            <w:vAlign w:val="center"/>
          </w:tcPr>
          <w:p>
            <w:pPr>
              <w:spacing w:line="288" w:lineRule="auto"/>
              <w:jc w:val="center"/>
              <w:rPr>
                <w:rFonts w:ascii="Times New Roman" w:hAnsi="Times New Roman" w:eastAsia="仿宋"/>
                <w:color w:val="000000"/>
                <w:kern w:val="0"/>
                <w:sz w:val="20"/>
                <w:szCs w:val="20"/>
              </w:rPr>
            </w:pPr>
            <w:r>
              <w:rPr>
                <w:rFonts w:ascii="Times New Roman" w:hAnsi="Times New Roman" w:eastAsia="仿宋"/>
                <w:color w:val="000000"/>
                <w:kern w:val="0"/>
                <w:sz w:val="20"/>
                <w:szCs w:val="20"/>
              </w:rPr>
              <w:t>LO31</w:t>
            </w:r>
          </w:p>
        </w:tc>
        <w:tc>
          <w:tcPr>
            <w:tcW w:w="2470" w:type="dxa"/>
            <w:shd w:val="clear" w:color="auto" w:fill="auto"/>
            <w:vAlign w:val="center"/>
          </w:tcPr>
          <w:p>
            <w:pPr>
              <w:spacing w:line="288" w:lineRule="auto"/>
              <w:rPr>
                <w:rFonts w:ascii="Times New Roman" w:hAnsi="Times New Roman" w:eastAsia="仿宋"/>
                <w:color w:val="000000"/>
                <w:kern w:val="0"/>
                <w:sz w:val="24"/>
              </w:rPr>
            </w:pPr>
            <w:r>
              <w:rPr>
                <w:rFonts w:ascii="Times New Roman" w:hAnsi="Times New Roman" w:eastAsiaTheme="minorEastAsia"/>
                <w:bCs/>
                <w:color w:val="000000"/>
                <w:kern w:val="0"/>
                <w:sz w:val="20"/>
                <w:szCs w:val="20"/>
              </w:rPr>
              <w:t>掌握关于大众传播的基本理论和知识</w:t>
            </w:r>
          </w:p>
        </w:tc>
        <w:tc>
          <w:tcPr>
            <w:tcW w:w="2199" w:type="dxa"/>
            <w:shd w:val="clear" w:color="auto" w:fill="auto"/>
            <w:vAlign w:val="center"/>
          </w:tcPr>
          <w:p>
            <w:pPr>
              <w:snapToGrid w:val="0"/>
              <w:spacing w:line="288" w:lineRule="auto"/>
              <w:rPr>
                <w:rFonts w:ascii="Times New Roman" w:hAnsi="Times New Roman" w:eastAsiaTheme="minorEastAsia"/>
                <w:bCs/>
                <w:color w:val="000000"/>
                <w:kern w:val="0"/>
                <w:sz w:val="20"/>
                <w:szCs w:val="20"/>
              </w:rPr>
            </w:pPr>
            <w:r>
              <w:rPr>
                <w:rFonts w:hint="eastAsia" w:ascii="Times New Roman" w:hAnsi="Times New Roman" w:eastAsiaTheme="minorEastAsia"/>
                <w:bCs/>
                <w:color w:val="000000"/>
                <w:kern w:val="0"/>
                <w:sz w:val="20"/>
                <w:szCs w:val="20"/>
              </w:rPr>
              <w:t>期终闭卷考</w:t>
            </w:r>
          </w:p>
        </w:tc>
        <w:tc>
          <w:tcPr>
            <w:tcW w:w="1775" w:type="dxa"/>
            <w:shd w:val="clear" w:color="auto" w:fill="auto"/>
            <w:vAlign w:val="center"/>
          </w:tcPr>
          <w:p>
            <w:pPr>
              <w:snapToGrid w:val="0"/>
              <w:spacing w:line="288" w:lineRule="auto"/>
              <w:rPr>
                <w:rFonts w:ascii="Times New Roman" w:hAnsi="Times New Roman" w:eastAsiaTheme="minorEastAsia"/>
                <w:bCs/>
                <w:color w:val="000000"/>
                <w:kern w:val="0"/>
                <w:sz w:val="20"/>
                <w:szCs w:val="20"/>
              </w:rPr>
            </w:pPr>
            <w:r>
              <w:rPr>
                <w:rFonts w:ascii="Times New Roman" w:hAnsi="Times New Roman" w:eastAsiaTheme="minorEastAsia"/>
                <w:bCs/>
                <w:color w:val="000000"/>
                <w:kern w:val="0"/>
                <w:sz w:val="20"/>
                <w:szCs w:val="20"/>
              </w:rPr>
              <w:t>根据学生回答试卷情况，评判成绩</w:t>
            </w:r>
          </w:p>
        </w:tc>
      </w:tr>
    </w:tbl>
    <w:p>
      <w:pPr>
        <w:snapToGrid w:val="0"/>
        <w:spacing w:line="360" w:lineRule="auto"/>
        <w:rPr>
          <w:rFonts w:ascii="Times New Roman" w:hAnsi="Times New Roman" w:eastAsia="黑体"/>
          <w:sz w:val="24"/>
        </w:rPr>
      </w:pPr>
    </w:p>
    <w:p>
      <w:pPr>
        <w:snapToGrid w:val="0"/>
        <w:spacing w:line="360" w:lineRule="auto"/>
        <w:rPr>
          <w:rFonts w:ascii="Times New Roman" w:hAnsi="Times New Roman" w:eastAsia="黑体"/>
          <w:sz w:val="24"/>
        </w:rPr>
      </w:pPr>
    </w:p>
    <w:p>
      <w:pPr>
        <w:snapToGrid w:val="0"/>
        <w:spacing w:line="360" w:lineRule="auto"/>
        <w:rPr>
          <w:rFonts w:ascii="Times New Roman" w:hAnsi="Times New Roman" w:eastAsia="黑体"/>
          <w:sz w:val="24"/>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六、课程内容</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94"/>
        <w:gridCol w:w="1701"/>
        <w:gridCol w:w="1417"/>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单元</w:t>
            </w:r>
          </w:p>
        </w:tc>
        <w:tc>
          <w:tcPr>
            <w:tcW w:w="2694"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知识点</w:t>
            </w:r>
          </w:p>
        </w:tc>
        <w:tc>
          <w:tcPr>
            <w:tcW w:w="1701"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能力要求</w:t>
            </w:r>
          </w:p>
        </w:tc>
        <w:tc>
          <w:tcPr>
            <w:tcW w:w="1417"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难点</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理论课时</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实践课时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绪</w:t>
            </w:r>
            <w:r>
              <w:rPr>
                <w:rFonts w:ascii="Times New Roman" w:hAnsi="Times New Roman" w:eastAsiaTheme="minorEastAsia"/>
                <w:sz w:val="20"/>
                <w:szCs w:val="20"/>
              </w:rPr>
              <w:t>论</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bCs/>
                <w:sz w:val="20"/>
                <w:szCs w:val="20"/>
              </w:rPr>
              <w:t>知道“新闻”、“传播”的概念、价值、区别；了解媒体、新媒体的分类；分析大众传媒的传播内容。</w:t>
            </w:r>
          </w:p>
        </w:tc>
        <w:tc>
          <w:tcPr>
            <w:tcW w:w="1701"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分析大众传播中的典型案例</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媒体与新媒体</w:t>
            </w:r>
          </w:p>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媒介内容</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2</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1</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传播学的研究对象与基本问题</w:t>
            </w:r>
          </w:p>
        </w:tc>
        <w:tc>
          <w:tcPr>
            <w:tcW w:w="2694" w:type="dxa"/>
          </w:tcPr>
          <w:p>
            <w:pPr>
              <w:widowControl/>
              <w:spacing w:before="156" w:beforeLines="50" w:after="156" w:afterLines="50" w:line="288" w:lineRule="auto"/>
              <w:jc w:val="left"/>
              <w:rPr>
                <w:rFonts w:ascii="Times New Roman" w:hAnsi="Times New Roman" w:eastAsiaTheme="minorEastAsia"/>
                <w:sz w:val="20"/>
                <w:szCs w:val="20"/>
              </w:rPr>
            </w:pPr>
            <w:r>
              <w:rPr>
                <w:rFonts w:ascii="Times New Roman" w:hAnsi="Times New Roman" w:eastAsiaTheme="minorEastAsia"/>
                <w:sz w:val="20"/>
                <w:szCs w:val="20"/>
              </w:rPr>
              <w:t>知道传播的定义、传播活动的要素和基本形态，理解传播学的研究对象</w:t>
            </w:r>
          </w:p>
        </w:tc>
        <w:tc>
          <w:tcPr>
            <w:tcW w:w="1701" w:type="dxa"/>
          </w:tcPr>
          <w:p>
            <w:pPr>
              <w:widowControl/>
              <w:spacing w:before="156" w:beforeLines="50" w:after="156" w:afterLines="50" w:line="288" w:lineRule="auto"/>
              <w:jc w:val="left"/>
              <w:rPr>
                <w:rFonts w:ascii="Times New Roman" w:hAnsi="Times New Roman" w:eastAsiaTheme="minorEastAsia"/>
                <w:sz w:val="20"/>
                <w:szCs w:val="20"/>
              </w:rPr>
            </w:pPr>
            <w:r>
              <w:rPr>
                <w:rFonts w:ascii="Times New Roman" w:hAnsi="Times New Roman" w:eastAsiaTheme="minorEastAsia"/>
                <w:sz w:val="20"/>
                <w:szCs w:val="20"/>
              </w:rPr>
              <w:t>结合具体案例分析传播活动的各个基本形态</w:t>
            </w:r>
          </w:p>
        </w:tc>
        <w:tc>
          <w:tcPr>
            <w:tcW w:w="1417" w:type="dxa"/>
          </w:tcPr>
          <w:p>
            <w:pPr>
              <w:widowControl/>
              <w:spacing w:before="156" w:beforeLines="50" w:after="156" w:afterLines="50" w:line="288" w:lineRule="auto"/>
              <w:jc w:val="left"/>
              <w:rPr>
                <w:rFonts w:ascii="Times New Roman" w:hAnsi="Times New Roman" w:eastAsiaTheme="minorEastAsia"/>
                <w:sz w:val="20"/>
                <w:szCs w:val="20"/>
              </w:rPr>
            </w:pPr>
            <w:r>
              <w:rPr>
                <w:rFonts w:ascii="Times New Roman" w:hAnsi="Times New Roman" w:eastAsiaTheme="minorEastAsia"/>
                <w:sz w:val="20"/>
                <w:szCs w:val="20"/>
              </w:rPr>
              <w:t>传播活动的要素和形态</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2</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2</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传播的历史与发展</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知道人类传播活动的发展历程：语言传播、文字传播、印刷传播、传统媒体传播、新媒体传播</w:t>
            </w:r>
          </w:p>
        </w:tc>
        <w:tc>
          <w:tcPr>
            <w:tcW w:w="1701"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结合具体案例分析人类传播活动经历的不同阶段</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传统媒体传播和新媒体传播</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2</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3</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传播的结构与功能</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知道传播的基本模式</w:t>
            </w:r>
            <w:r>
              <w:rPr>
                <w:rFonts w:hint="eastAsia" w:ascii="Times New Roman" w:hAnsi="Times New Roman" w:eastAsiaTheme="minorEastAsia"/>
                <w:sz w:val="20"/>
                <w:szCs w:val="20"/>
              </w:rPr>
              <w:t>和传播学四大先驱</w:t>
            </w:r>
            <w:r>
              <w:rPr>
                <w:rFonts w:ascii="Times New Roman" w:hAnsi="Times New Roman" w:eastAsiaTheme="minorEastAsia"/>
                <w:sz w:val="20"/>
                <w:szCs w:val="20"/>
              </w:rPr>
              <w:t>，理解大众传播的功能</w:t>
            </w:r>
          </w:p>
        </w:tc>
        <w:tc>
          <w:tcPr>
            <w:tcW w:w="1701" w:type="dxa"/>
            <w:vAlign w:val="center"/>
          </w:tcPr>
          <w:p>
            <w:pPr>
              <w:widowControl/>
              <w:spacing w:before="156" w:beforeLines="50" w:after="156" w:afterLines="50" w:line="288" w:lineRule="auto"/>
              <w:rPr>
                <w:rFonts w:ascii="Times New Roman" w:hAnsi="Times New Roman" w:eastAsiaTheme="minorEastAsia"/>
                <w:sz w:val="20"/>
                <w:szCs w:val="20"/>
              </w:rPr>
            </w:pPr>
            <w:r>
              <w:rPr>
                <w:rFonts w:hint="eastAsia" w:ascii="Times New Roman" w:hAnsi="Times New Roman" w:eastAsiaTheme="minorEastAsia"/>
                <w:sz w:val="20"/>
                <w:szCs w:val="20"/>
              </w:rPr>
              <w:t>运用传播的基本模式分析大众传播活动</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hint="eastAsia" w:ascii="Times New Roman" w:hAnsi="Times New Roman" w:eastAsiaTheme="minorEastAsia"/>
                <w:sz w:val="20"/>
                <w:szCs w:val="20"/>
              </w:rPr>
              <w:t>传播学四大先驱的主要功绩</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2</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4</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人际传播和组织传播</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理解人际传播、组织传播的定义、特点及其具体运用</w:t>
            </w:r>
          </w:p>
        </w:tc>
        <w:tc>
          <w:tcPr>
            <w:tcW w:w="1701"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分析现实生活中的组织传播案例，如公关宣传、广告宣传等</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组织传播的现实运用</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2</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5</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大众传播</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理解大众传播的定义、特点、功能，知道大众传播的产生</w:t>
            </w:r>
            <w:r>
              <w:rPr>
                <w:rFonts w:hint="eastAsia" w:ascii="Times New Roman" w:hAnsi="Times New Roman" w:eastAsiaTheme="minorEastAsia"/>
                <w:sz w:val="20"/>
                <w:szCs w:val="20"/>
              </w:rPr>
              <w:t>与</w:t>
            </w:r>
            <w:r>
              <w:rPr>
                <w:rFonts w:ascii="Times New Roman" w:hAnsi="Times New Roman" w:eastAsiaTheme="minorEastAsia"/>
                <w:sz w:val="20"/>
                <w:szCs w:val="20"/>
              </w:rPr>
              <w:t>发展过程</w:t>
            </w:r>
          </w:p>
        </w:tc>
        <w:tc>
          <w:tcPr>
            <w:tcW w:w="1701"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分析报纸、电视、新媒体等大众传媒的特点</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hint="eastAsia" w:ascii="Times New Roman" w:hAnsi="Times New Roman" w:eastAsiaTheme="minorEastAsia"/>
                <w:sz w:val="20"/>
                <w:szCs w:val="20"/>
              </w:rPr>
              <w:t>新媒体的多重影响</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8</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6</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传播的符号与表达</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理解人类传播的符号系统、意义及其表达</w:t>
            </w:r>
            <w:r>
              <w:rPr>
                <w:rFonts w:hint="eastAsia" w:ascii="Times New Roman" w:hAnsi="Times New Roman" w:eastAsiaTheme="minorEastAsia"/>
                <w:sz w:val="20"/>
                <w:szCs w:val="20"/>
              </w:rPr>
              <w:t>；影视传播的符号——声音与画面</w:t>
            </w:r>
          </w:p>
        </w:tc>
        <w:tc>
          <w:tcPr>
            <w:tcW w:w="1701"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结合案例分析传播符号系统及其意义</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画面、声音</w:t>
            </w:r>
            <w:r>
              <w:rPr>
                <w:rFonts w:hint="eastAsia" w:ascii="Times New Roman" w:hAnsi="Times New Roman" w:eastAsiaTheme="minorEastAsia"/>
                <w:sz w:val="20"/>
                <w:szCs w:val="20"/>
              </w:rPr>
              <w:t>的特点与分类</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6</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7</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大众传播的受众</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hint="eastAsia" w:ascii="Times New Roman" w:hAnsi="Times New Roman" w:eastAsiaTheme="minorEastAsia"/>
                <w:bCs/>
                <w:color w:val="000000"/>
                <w:kern w:val="0"/>
                <w:sz w:val="20"/>
                <w:szCs w:val="20"/>
              </w:rPr>
              <w:t>理解受众的定义、特征、分类、动机；受众的选择性心理</w:t>
            </w:r>
          </w:p>
        </w:tc>
        <w:tc>
          <w:tcPr>
            <w:tcW w:w="1701" w:type="dxa"/>
            <w:vAlign w:val="center"/>
          </w:tcPr>
          <w:p>
            <w:pPr>
              <w:snapToGrid w:val="0"/>
              <w:spacing w:line="288" w:lineRule="auto"/>
              <w:rPr>
                <w:rFonts w:ascii="Times New Roman" w:hAnsi="Times New Roman" w:eastAsiaTheme="minorEastAsia"/>
                <w:bCs/>
                <w:color w:val="000000"/>
                <w:kern w:val="0"/>
                <w:sz w:val="20"/>
                <w:szCs w:val="20"/>
              </w:rPr>
            </w:pPr>
            <w:r>
              <w:rPr>
                <w:rFonts w:ascii="Times New Roman" w:hAnsi="Times New Roman" w:eastAsiaTheme="minorEastAsia"/>
                <w:bCs/>
                <w:color w:val="000000"/>
                <w:kern w:val="0"/>
                <w:sz w:val="20"/>
                <w:szCs w:val="20"/>
              </w:rPr>
              <w:t>运用恰当的方法对大众传播的受众进行研究</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使用与满足理论</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4</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8</w:t>
            </w:r>
          </w:p>
          <w:p>
            <w:pPr>
              <w:widowControl/>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大众传播的自由</w:t>
            </w:r>
            <w:r>
              <w:rPr>
                <w:rFonts w:hint="eastAsia" w:ascii="Times New Roman" w:hAnsi="Times New Roman" w:eastAsiaTheme="minorEastAsia"/>
                <w:sz w:val="20"/>
                <w:szCs w:val="20"/>
              </w:rPr>
              <w:t>、</w:t>
            </w:r>
            <w:r>
              <w:rPr>
                <w:rFonts w:ascii="Times New Roman" w:hAnsi="Times New Roman" w:eastAsiaTheme="minorEastAsia"/>
                <w:sz w:val="20"/>
                <w:szCs w:val="20"/>
              </w:rPr>
              <w:t>控制</w:t>
            </w:r>
            <w:r>
              <w:rPr>
                <w:rFonts w:hint="eastAsia" w:ascii="Times New Roman" w:hAnsi="Times New Roman" w:eastAsiaTheme="minorEastAsia"/>
                <w:sz w:val="20"/>
                <w:szCs w:val="20"/>
              </w:rPr>
              <w:t>与效果</w:t>
            </w:r>
          </w:p>
        </w:tc>
        <w:tc>
          <w:tcPr>
            <w:tcW w:w="2694"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知道大众传播自由的基本内容：知情权、表达权等，理解大众传播的不同控制手段</w:t>
            </w:r>
            <w:r>
              <w:rPr>
                <w:rFonts w:hint="eastAsia" w:ascii="Times New Roman" w:hAnsi="Times New Roman" w:eastAsiaTheme="minorEastAsia"/>
                <w:sz w:val="20"/>
                <w:szCs w:val="20"/>
              </w:rPr>
              <w:t>。知道传播效果研究的历史与三个发展阶段</w:t>
            </w:r>
          </w:p>
        </w:tc>
        <w:tc>
          <w:tcPr>
            <w:tcW w:w="1701" w:type="dxa"/>
            <w:vAlign w:val="center"/>
          </w:tcPr>
          <w:p>
            <w:pPr>
              <w:widowControl/>
              <w:spacing w:before="156" w:beforeLines="50" w:after="156" w:afterLines="50" w:line="288" w:lineRule="auto"/>
              <w:rPr>
                <w:rFonts w:ascii="Times New Roman" w:hAnsi="Times New Roman" w:eastAsiaTheme="minorEastAsia"/>
                <w:sz w:val="20"/>
                <w:szCs w:val="20"/>
              </w:rPr>
            </w:pPr>
            <w:r>
              <w:rPr>
                <w:rFonts w:ascii="Times New Roman" w:hAnsi="Times New Roman" w:eastAsiaTheme="minorEastAsia"/>
                <w:sz w:val="20"/>
                <w:szCs w:val="20"/>
              </w:rPr>
              <w:t>结合案例分析大众传播的行政控制、法律控制、利益控制</w:t>
            </w:r>
          </w:p>
        </w:tc>
        <w:tc>
          <w:tcPr>
            <w:tcW w:w="1417" w:type="dxa"/>
            <w:vAlign w:val="center"/>
          </w:tcPr>
          <w:p>
            <w:pPr>
              <w:widowControl/>
              <w:spacing w:before="156" w:beforeLines="50" w:after="156" w:afterLines="50" w:line="288" w:lineRule="auto"/>
              <w:rPr>
                <w:rFonts w:ascii="Times New Roman" w:hAnsi="Times New Roman" w:eastAsiaTheme="minorEastAsia"/>
                <w:sz w:val="20"/>
                <w:szCs w:val="20"/>
              </w:rPr>
            </w:pPr>
            <w:r>
              <w:rPr>
                <w:rFonts w:hint="eastAsia" w:ascii="Times New Roman" w:hAnsi="Times New Roman" w:eastAsiaTheme="minorEastAsia"/>
                <w:sz w:val="20"/>
                <w:szCs w:val="20"/>
              </w:rPr>
              <w:t>传播效果研究的三个发展阶段</w:t>
            </w:r>
          </w:p>
        </w:tc>
        <w:tc>
          <w:tcPr>
            <w:tcW w:w="709" w:type="dxa"/>
            <w:vAlign w:val="center"/>
          </w:tcPr>
          <w:p>
            <w:pPr>
              <w:widowControl/>
              <w:spacing w:before="156" w:beforeLines="50" w:after="156" w:afterLines="50" w:line="288" w:lineRule="auto"/>
              <w:jc w:val="center"/>
              <w:rPr>
                <w:rFonts w:ascii="Times New Roman" w:hAnsi="Times New Roman" w:eastAsiaTheme="minorEastAsia"/>
                <w:sz w:val="20"/>
                <w:szCs w:val="20"/>
              </w:rPr>
            </w:pPr>
            <w:r>
              <w:rPr>
                <w:rFonts w:hint="eastAsia" w:ascii="Times New Roman" w:hAnsi="Times New Roman" w:eastAsiaTheme="minorEastAsia"/>
                <w:sz w:val="20"/>
                <w:szCs w:val="20"/>
              </w:rPr>
              <w:t>4</w:t>
            </w:r>
          </w:p>
        </w:tc>
        <w:tc>
          <w:tcPr>
            <w:tcW w:w="759" w:type="dxa"/>
            <w:vAlign w:val="center"/>
          </w:tcPr>
          <w:p>
            <w:pPr>
              <w:widowControl/>
              <w:spacing w:before="156" w:beforeLines="50" w:after="156" w:afterLines="50" w:line="288" w:lineRule="auto"/>
              <w:jc w:val="center"/>
              <w:rPr>
                <w:rFonts w:ascii="Times New Roman" w:hAnsi="Times New Roman" w:eastAsiaTheme="minorEastAsia"/>
                <w:sz w:val="20"/>
                <w:szCs w:val="20"/>
              </w:rPr>
            </w:pPr>
          </w:p>
        </w:tc>
      </w:tr>
    </w:tbl>
    <w:p>
      <w:pPr>
        <w:snapToGrid w:val="0"/>
        <w:spacing w:line="360" w:lineRule="auto"/>
        <w:ind w:right="2520"/>
        <w:rPr>
          <w:rFonts w:ascii="Times New Roman" w:hAnsi="Times New Roman" w:eastAsia="黑体"/>
          <w:sz w:val="24"/>
        </w:rPr>
      </w:pP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rPr>
                <w:rFonts w:ascii="Times New Roman" w:hAnsi="Times New Roman"/>
                <w:bCs/>
                <w:color w:val="000000"/>
                <w:sz w:val="20"/>
                <w:szCs w:val="20"/>
              </w:rPr>
            </w:pPr>
            <w:r>
              <w:rPr>
                <w:rFonts w:ascii="Times New Roman" w:hAnsi="Times New Roman"/>
                <w:bCs/>
                <w:color w:val="000000"/>
                <w:sz w:val="20"/>
                <w:szCs w:val="20"/>
              </w:rPr>
              <w:t>总评构成（1+X）</w:t>
            </w:r>
          </w:p>
        </w:tc>
        <w:tc>
          <w:tcPr>
            <w:tcW w:w="5103"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评价方式</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1</w:t>
            </w:r>
          </w:p>
        </w:tc>
        <w:tc>
          <w:tcPr>
            <w:tcW w:w="5103" w:type="dxa"/>
            <w:shd w:val="clear" w:color="auto" w:fill="auto"/>
            <w:vAlign w:val="center"/>
          </w:tcPr>
          <w:p>
            <w:pPr>
              <w:snapToGrid w:val="0"/>
              <w:spacing w:before="156" w:beforeLines="50" w:after="156" w:afterLines="50" w:line="360" w:lineRule="auto"/>
              <w:rPr>
                <w:rFonts w:ascii="Times New Roman" w:hAnsi="Times New Roman"/>
                <w:bCs/>
                <w:color w:val="000000"/>
                <w:sz w:val="20"/>
                <w:szCs w:val="20"/>
              </w:rPr>
            </w:pPr>
            <w:r>
              <w:rPr>
                <w:rFonts w:ascii="Times New Roman" w:hAnsi="Times New Roman"/>
                <w:bCs/>
                <w:color w:val="000000"/>
                <w:sz w:val="20"/>
                <w:szCs w:val="20"/>
              </w:rPr>
              <w:t>期终闭卷考</w:t>
            </w:r>
          </w:p>
        </w:tc>
        <w:tc>
          <w:tcPr>
            <w:tcW w:w="1843" w:type="dxa"/>
            <w:shd w:val="clear" w:color="auto" w:fill="auto"/>
            <w:vAlign w:val="center"/>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X1</w:t>
            </w:r>
          </w:p>
        </w:tc>
        <w:tc>
          <w:tcPr>
            <w:tcW w:w="5103" w:type="dxa"/>
            <w:shd w:val="clear" w:color="auto" w:fill="auto"/>
          </w:tcPr>
          <w:p>
            <w:pPr>
              <w:snapToGrid w:val="0"/>
              <w:spacing w:before="156" w:beforeLines="50" w:after="156" w:afterLines="50" w:line="360" w:lineRule="auto"/>
              <w:rPr>
                <w:rFonts w:ascii="Times New Roman" w:hAnsi="Times New Roman"/>
                <w:bCs/>
                <w:color w:val="000000"/>
                <w:sz w:val="20"/>
                <w:szCs w:val="20"/>
              </w:rPr>
            </w:pPr>
            <w:r>
              <w:rPr>
                <w:rFonts w:ascii="Times New Roman" w:hAnsi="Times New Roman"/>
                <w:bCs/>
                <w:color w:val="000000"/>
                <w:sz w:val="20"/>
                <w:szCs w:val="20"/>
              </w:rPr>
              <w:t>作品：微信H5页面制作</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X2</w:t>
            </w:r>
          </w:p>
        </w:tc>
        <w:tc>
          <w:tcPr>
            <w:tcW w:w="5103" w:type="dxa"/>
            <w:shd w:val="clear" w:color="auto" w:fill="auto"/>
          </w:tcPr>
          <w:p>
            <w:pPr>
              <w:snapToGrid w:val="0"/>
              <w:spacing w:before="156" w:beforeLines="50" w:after="156" w:afterLines="50" w:line="360" w:lineRule="auto"/>
              <w:rPr>
                <w:rFonts w:ascii="Times New Roman" w:hAnsi="Times New Roman"/>
                <w:bCs/>
                <w:color w:val="000000"/>
                <w:sz w:val="20"/>
                <w:szCs w:val="20"/>
              </w:rPr>
            </w:pPr>
            <w:r>
              <w:rPr>
                <w:rFonts w:ascii="Times New Roman" w:hAnsi="Times New Roman"/>
                <w:bCs/>
                <w:color w:val="000000"/>
                <w:sz w:val="20"/>
                <w:szCs w:val="20"/>
              </w:rPr>
              <w:t>作品：</w:t>
            </w:r>
            <w:r>
              <w:rPr>
                <w:rFonts w:hint="eastAsia" w:ascii="Times New Roman" w:hAnsi="Times New Roman"/>
                <w:bCs/>
                <w:color w:val="000000"/>
                <w:sz w:val="20"/>
                <w:szCs w:val="20"/>
              </w:rPr>
              <w:t>视频</w:t>
            </w:r>
            <w:r>
              <w:rPr>
                <w:rFonts w:ascii="Times New Roman" w:hAnsi="Times New Roman"/>
                <w:bCs/>
                <w:color w:val="000000"/>
                <w:sz w:val="20"/>
                <w:szCs w:val="20"/>
              </w:rPr>
              <w:t>摄制</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X3</w:t>
            </w:r>
          </w:p>
        </w:tc>
        <w:tc>
          <w:tcPr>
            <w:tcW w:w="5103" w:type="dxa"/>
            <w:shd w:val="clear" w:color="auto" w:fill="auto"/>
          </w:tcPr>
          <w:p>
            <w:pPr>
              <w:snapToGrid w:val="0"/>
              <w:spacing w:before="156" w:beforeLines="50" w:after="156" w:afterLines="50" w:line="360" w:lineRule="auto"/>
              <w:rPr>
                <w:rFonts w:ascii="Times New Roman" w:hAnsi="Times New Roman"/>
                <w:bCs/>
                <w:color w:val="000000"/>
                <w:sz w:val="20"/>
                <w:szCs w:val="20"/>
              </w:rPr>
            </w:pPr>
            <w:r>
              <w:rPr>
                <w:rFonts w:ascii="Times New Roman" w:hAnsi="Times New Roman"/>
                <w:bCs/>
                <w:color w:val="000000"/>
                <w:sz w:val="20"/>
                <w:szCs w:val="20"/>
              </w:rPr>
              <w:t>小组项目报告：大众传播受众的问卷调查报告</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 w:val="20"/>
                <w:szCs w:val="20"/>
              </w:rPr>
            </w:pPr>
            <w:r>
              <w:rPr>
                <w:rFonts w:ascii="Times New Roman" w:hAnsi="Times New Roman"/>
                <w:bCs/>
                <w:color w:val="000000"/>
                <w:sz w:val="20"/>
                <w:szCs w:val="20"/>
              </w:rPr>
              <w:t>20%</w:t>
            </w:r>
          </w:p>
        </w:tc>
      </w:tr>
    </w:tbl>
    <w:p>
      <w:pPr>
        <w:snapToGrid w:val="0"/>
        <w:spacing w:line="360" w:lineRule="auto"/>
        <w:ind w:right="2520" w:firstLine="480" w:firstLineChars="200"/>
        <w:rPr>
          <w:rFonts w:ascii="Times New Roman" w:hAnsi="Times New Roman"/>
          <w:sz w:val="20"/>
          <w:szCs w:val="20"/>
        </w:rPr>
      </w:pPr>
      <w:r>
        <w:rPr>
          <w:rFonts w:ascii="Times New Roman" w:hAnsi="Times New Roman" w:eastAsia="黑体"/>
          <w:sz w:val="24"/>
        </w:rPr>
        <w:t>七、评价方式与成绩</w:t>
      </w:r>
    </w:p>
    <w:p>
      <w:pPr>
        <w:snapToGrid w:val="0"/>
        <w:spacing w:before="120" w:after="120" w:line="360" w:lineRule="auto"/>
        <w:ind w:firstLine="400" w:firstLineChars="200"/>
        <w:rPr>
          <w:rFonts w:ascii="Times New Roman" w:hAnsi="Times New Roman"/>
          <w:sz w:val="20"/>
          <w:szCs w:val="20"/>
        </w:rPr>
      </w:pPr>
      <w:r>
        <w:rPr>
          <w:rFonts w:ascii="Times New Roman" w:hAnsi="Times New Roman"/>
          <w:color w:val="000000"/>
          <w:sz w:val="20"/>
          <w:szCs w:val="20"/>
        </w:rPr>
        <w:t>常用的评价方式有：</w:t>
      </w:r>
      <w:r>
        <w:rPr>
          <w:rFonts w:ascii="Times New Roman" w:hAnsi="Times New Roman"/>
          <w:sz w:val="20"/>
          <w:szCs w:val="20"/>
        </w:rPr>
        <w:t>课堂展示、口头报告、论文、日志、反思、调查报告、个人项目报告、小组项目报告、实验报告、读书报告、作品（选集）、口试、课堂小测验、期终闭卷考、期终开卷考、工作现场评估、自我评估、同辈评估等等。本课程考核评价选取了表格中的4个方面，重在基础理论的掌握与应用，使学生可以对人类传播活动的本质和规律，大众传播的相关理论有所把握，提高分析问题、解决问题的能力。</w:t>
      </w:r>
    </w:p>
    <w:p>
      <w:pPr>
        <w:snapToGrid w:val="0"/>
        <w:spacing w:before="120" w:after="120" w:line="360" w:lineRule="auto"/>
        <w:rPr>
          <w:rFonts w:ascii="Times New Roman" w:hAnsi="Times New Roman"/>
          <w:sz w:val="20"/>
          <w:szCs w:val="20"/>
          <w:highlight w:val="yellow"/>
        </w:rPr>
      </w:pPr>
    </w:p>
    <w:p>
      <w:pPr>
        <w:snapToGrid w:val="0"/>
        <w:spacing w:before="120" w:after="120" w:line="360" w:lineRule="auto"/>
        <w:rPr>
          <w:rFonts w:ascii="Times New Roman" w:hAnsi="Times New Roman"/>
          <w:sz w:val="20"/>
          <w:szCs w:val="20"/>
          <w:highlight w:val="yellow"/>
        </w:rPr>
      </w:pPr>
    </w:p>
    <w:p>
      <w:pPr>
        <w:snapToGrid w:val="0"/>
        <w:spacing w:line="360" w:lineRule="auto"/>
        <w:ind w:firstLine="840" w:firstLineChars="300"/>
        <w:rPr>
          <w:rFonts w:hint="eastAsia" w:ascii="Times New Roman" w:hAnsi="Times New Roman" w:eastAsia="宋体"/>
          <w:sz w:val="28"/>
          <w:szCs w:val="28"/>
          <w:lang w:val="en-US" w:eastAsia="zh-CN"/>
        </w:rPr>
      </w:pPr>
      <w:r>
        <w:rPr>
          <w:rFonts w:ascii="Times New Roman" w:hAnsi="Times New Roman"/>
          <w:sz w:val="28"/>
          <w:szCs w:val="28"/>
        </w:rPr>
        <w:t>撰写人：沈慧萍             系主任审核签名：</w:t>
      </w:r>
      <w:r>
        <w:rPr>
          <w:rFonts w:hint="eastAsia" w:ascii="Times New Roman" w:hAnsi="Times New Roman"/>
          <w:sz w:val="28"/>
          <w:szCs w:val="28"/>
          <w:lang w:val="en-US" w:eastAsia="zh-CN"/>
        </w:rPr>
        <w:t>沈慧萍</w:t>
      </w:r>
    </w:p>
    <w:p>
      <w:pPr>
        <w:snapToGrid w:val="0"/>
        <w:spacing w:line="360" w:lineRule="auto"/>
        <w:ind w:firstLine="840" w:firstLineChars="300"/>
        <w:rPr>
          <w:rFonts w:ascii="Times New Roman" w:hAnsi="Times New Roman"/>
          <w:sz w:val="28"/>
          <w:szCs w:val="28"/>
        </w:rPr>
      </w:pPr>
      <w:r>
        <w:rPr>
          <w:rFonts w:ascii="Times New Roman" w:hAnsi="Times New Roman"/>
          <w:sz w:val="28"/>
          <w:szCs w:val="28"/>
        </w:rPr>
        <w:t xml:space="preserve">审核时间：      </w:t>
      </w:r>
      <w:r>
        <w:rPr>
          <w:rFonts w:hint="eastAsia" w:ascii="Times New Roman" w:hAnsi="Times New Roman"/>
          <w:sz w:val="28"/>
          <w:szCs w:val="28"/>
          <w:lang w:val="en-US" w:eastAsia="zh-CN"/>
        </w:rPr>
        <w:t>201809</w:t>
      </w:r>
      <w:bookmarkStart w:id="1" w:name="_GoBack"/>
      <w:bookmarkEnd w:id="1"/>
      <w:r>
        <w:rPr>
          <w:rFonts w:ascii="Times New Roman" w:hAnsi="Times New Roman"/>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A0660"/>
    <w:rsid w:val="000A1275"/>
    <w:rsid w:val="000A64D4"/>
    <w:rsid w:val="001072BC"/>
    <w:rsid w:val="001732D2"/>
    <w:rsid w:val="001B74A0"/>
    <w:rsid w:val="001F758B"/>
    <w:rsid w:val="00230822"/>
    <w:rsid w:val="00254D5E"/>
    <w:rsid w:val="00256B39"/>
    <w:rsid w:val="0026033C"/>
    <w:rsid w:val="002B06E2"/>
    <w:rsid w:val="002C4E68"/>
    <w:rsid w:val="002E3721"/>
    <w:rsid w:val="002F6B88"/>
    <w:rsid w:val="00313BBA"/>
    <w:rsid w:val="0032602E"/>
    <w:rsid w:val="003367AE"/>
    <w:rsid w:val="00374AFB"/>
    <w:rsid w:val="00381D43"/>
    <w:rsid w:val="003B1258"/>
    <w:rsid w:val="004100B0"/>
    <w:rsid w:val="00415739"/>
    <w:rsid w:val="004D46AF"/>
    <w:rsid w:val="005013AE"/>
    <w:rsid w:val="00505133"/>
    <w:rsid w:val="005467DC"/>
    <w:rsid w:val="00553D03"/>
    <w:rsid w:val="005B2B6D"/>
    <w:rsid w:val="005B4B4E"/>
    <w:rsid w:val="005D51B3"/>
    <w:rsid w:val="00624FE1"/>
    <w:rsid w:val="0068657B"/>
    <w:rsid w:val="006C13AE"/>
    <w:rsid w:val="00710C8F"/>
    <w:rsid w:val="007208D6"/>
    <w:rsid w:val="00722FD5"/>
    <w:rsid w:val="00752113"/>
    <w:rsid w:val="007A372D"/>
    <w:rsid w:val="007B7964"/>
    <w:rsid w:val="007F3203"/>
    <w:rsid w:val="007F55C6"/>
    <w:rsid w:val="00866ECD"/>
    <w:rsid w:val="008B397C"/>
    <w:rsid w:val="008B47F4"/>
    <w:rsid w:val="00900019"/>
    <w:rsid w:val="00904AB0"/>
    <w:rsid w:val="009105F9"/>
    <w:rsid w:val="00922A6A"/>
    <w:rsid w:val="00935773"/>
    <w:rsid w:val="0099063E"/>
    <w:rsid w:val="00994DA3"/>
    <w:rsid w:val="009B5DD4"/>
    <w:rsid w:val="009D2035"/>
    <w:rsid w:val="009F49EC"/>
    <w:rsid w:val="00A25235"/>
    <w:rsid w:val="00A34158"/>
    <w:rsid w:val="00A60237"/>
    <w:rsid w:val="00A769B1"/>
    <w:rsid w:val="00AC4C45"/>
    <w:rsid w:val="00AE0317"/>
    <w:rsid w:val="00B20598"/>
    <w:rsid w:val="00B46F21"/>
    <w:rsid w:val="00B511A5"/>
    <w:rsid w:val="00B52E3D"/>
    <w:rsid w:val="00B736A7"/>
    <w:rsid w:val="00B7651F"/>
    <w:rsid w:val="00BD7114"/>
    <w:rsid w:val="00BE1D64"/>
    <w:rsid w:val="00C07B02"/>
    <w:rsid w:val="00C21564"/>
    <w:rsid w:val="00C228F2"/>
    <w:rsid w:val="00C53AD9"/>
    <w:rsid w:val="00C56E09"/>
    <w:rsid w:val="00CC5CDC"/>
    <w:rsid w:val="00CE71EC"/>
    <w:rsid w:val="00CF096B"/>
    <w:rsid w:val="00CF7A6E"/>
    <w:rsid w:val="00D163A2"/>
    <w:rsid w:val="00D17CD1"/>
    <w:rsid w:val="00DB320E"/>
    <w:rsid w:val="00E16D30"/>
    <w:rsid w:val="00E33169"/>
    <w:rsid w:val="00E350BA"/>
    <w:rsid w:val="00E70904"/>
    <w:rsid w:val="00EF44B1"/>
    <w:rsid w:val="00F1428B"/>
    <w:rsid w:val="00F152DA"/>
    <w:rsid w:val="00F35AA0"/>
    <w:rsid w:val="00FF5C68"/>
    <w:rsid w:val="024B0C39"/>
    <w:rsid w:val="0A8128A6"/>
    <w:rsid w:val="0BF32A1B"/>
    <w:rsid w:val="10BD2C22"/>
    <w:rsid w:val="20910966"/>
    <w:rsid w:val="22987C80"/>
    <w:rsid w:val="24192CCC"/>
    <w:rsid w:val="2F427F00"/>
    <w:rsid w:val="39A66CD4"/>
    <w:rsid w:val="3CD52CE1"/>
    <w:rsid w:val="410F2E6A"/>
    <w:rsid w:val="4430136C"/>
    <w:rsid w:val="4AB0382B"/>
    <w:rsid w:val="4D6B3E85"/>
    <w:rsid w:val="569868B5"/>
    <w:rsid w:val="611F6817"/>
    <w:rsid w:val="66CA1754"/>
    <w:rsid w:val="6F1E65D4"/>
    <w:rsid w:val="6F266C86"/>
    <w:rsid w:val="6F5042C2"/>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406</Words>
  <Characters>2319</Characters>
  <Lines>19</Lines>
  <Paragraphs>5</Paragraphs>
  <TotalTime>64</TotalTime>
  <ScaleCrop>false</ScaleCrop>
  <LinksUpToDate>false</LinksUpToDate>
  <CharactersWithSpaces>2720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2018-09-16T05:09:00Z</dcterms:created>
  <dc:creator>juvg</dc:creator>
  <cp:lastModifiedBy>111111</cp:lastModifiedBy>
  <dcterms:modified xsi:type="dcterms:W3CDTF">2018-09-30T06:38:44Z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