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spacing w:line="288" w:lineRule="auto"/>
        <w:jc w:val="center"/>
        <w:rPr>
          <w:b/>
          <w:sz w:val="28"/>
          <w:szCs w:val="30"/>
        </w:rPr>
      </w:pPr>
      <w:r>
        <w:rPr>
          <w:rFonts w:hint="eastAsia"/>
          <w:b/>
          <w:sz w:val="28"/>
          <w:szCs w:val="30"/>
        </w:rPr>
        <w:t>【</w:t>
      </w:r>
      <w:r>
        <w:rPr>
          <w:rFonts w:hint="eastAsia"/>
          <w:b/>
          <w:sz w:val="28"/>
          <w:szCs w:val="30"/>
          <w:lang w:eastAsia="zh-CN"/>
        </w:rPr>
        <w:t>中外文学导读</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【The </w:t>
      </w:r>
      <w:r>
        <w:rPr>
          <w:b/>
          <w:sz w:val="28"/>
          <w:szCs w:val="30"/>
        </w:rPr>
        <w:t>Introduction</w:t>
      </w:r>
      <w:r>
        <w:rPr>
          <w:rFonts w:hint="eastAsia"/>
          <w:b/>
          <w:sz w:val="28"/>
          <w:szCs w:val="30"/>
        </w:rPr>
        <w:t xml:space="preserve"> of Chinese Literature】</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2030416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新闻学专业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rFonts w:hint="eastAsia"/>
          <w:color w:val="000000"/>
          <w:sz w:val="20"/>
          <w:szCs w:val="20"/>
        </w:rPr>
      </w:pPr>
      <w:r>
        <w:rPr>
          <w:b/>
          <w:bCs/>
          <w:color w:val="000000"/>
          <w:sz w:val="20"/>
          <w:szCs w:val="20"/>
        </w:rPr>
        <w:t>使用教材：</w:t>
      </w:r>
      <w:r>
        <w:rPr>
          <w:rFonts w:hint="eastAsia"/>
          <w:color w:val="000000"/>
          <w:sz w:val="20"/>
          <w:szCs w:val="20"/>
        </w:rPr>
        <w:t>主教材【</w:t>
      </w:r>
      <w:r>
        <w:rPr>
          <w:rFonts w:hint="eastAsia"/>
          <w:color w:val="000000"/>
          <w:sz w:val="20"/>
          <w:szCs w:val="20"/>
          <w:lang w:eastAsia="zh-CN"/>
        </w:rPr>
        <w:t>《中外文学精品导读》，王振军等著，中国广播影视出版社，</w:t>
      </w:r>
      <w:r>
        <w:rPr>
          <w:rFonts w:hint="eastAsia"/>
          <w:color w:val="000000"/>
          <w:sz w:val="20"/>
          <w:szCs w:val="20"/>
          <w:lang w:val="en-US" w:eastAsia="zh-CN"/>
        </w:rPr>
        <w:t>2016年9月，第1版</w:t>
      </w:r>
      <w:r>
        <w:rPr>
          <w:rFonts w:hint="eastAsia"/>
          <w:color w:val="000000"/>
          <w:sz w:val="20"/>
          <w:szCs w:val="20"/>
        </w:rPr>
        <w:t>】</w:t>
      </w:r>
    </w:p>
    <w:p>
      <w:pPr>
        <w:snapToGrid w:val="0"/>
        <w:spacing w:line="288" w:lineRule="auto"/>
        <w:ind w:firstLine="392" w:firstLineChars="196"/>
        <w:rPr>
          <w:rFonts w:hint="eastAsia"/>
          <w:color w:val="000000"/>
          <w:sz w:val="20"/>
          <w:szCs w:val="20"/>
        </w:rPr>
      </w:pPr>
      <w:r>
        <w:rPr>
          <w:rFonts w:hint="eastAsia"/>
          <w:color w:val="000000"/>
          <w:sz w:val="20"/>
          <w:szCs w:val="20"/>
        </w:rPr>
        <w:t>参考教材</w:t>
      </w:r>
      <w:r>
        <w:rPr>
          <w:rFonts w:hint="eastAsia"/>
          <w:color w:val="000000"/>
          <w:sz w:val="20"/>
          <w:szCs w:val="20"/>
          <w:lang w:eastAsia="zh-CN"/>
        </w:rPr>
        <w:t>：</w:t>
      </w:r>
      <w:r>
        <w:rPr>
          <w:rFonts w:hint="eastAsia"/>
          <w:color w:val="000000"/>
          <w:sz w:val="20"/>
          <w:szCs w:val="20"/>
        </w:rPr>
        <w:t>【林庚著《中国文学简史》，清华大学出版社，2007年版；章培恒、骆玉明主编《中国文学史新著（增订本）》，复旦大学出版社，2015年版；骆玉明著《简明中国文学史》复旦大学出版社，2004年版；钱理群、温儒敏、吴福辉著《中国现代文学三十年》，北京大学出版社，1998年版；陈思和主编《中国当代文学史教程》，复旦大学出版社，2008年版】</w:t>
      </w:r>
      <w:r>
        <w:rPr>
          <w:rFonts w:hint="eastAsia"/>
          <w:color w:val="000000"/>
          <w:sz w:val="20"/>
          <w:szCs w:val="20"/>
          <w:lang w:eastAsia="zh-CN"/>
        </w:rPr>
        <w:t>。</w:t>
      </w:r>
    </w:p>
    <w:p>
      <w:pPr>
        <w:snapToGrid w:val="0"/>
        <w:spacing w:line="288" w:lineRule="auto"/>
        <w:ind w:firstLine="394" w:firstLineChars="196"/>
        <w:jc w:val="left"/>
        <w:rPr>
          <w:rFonts w:hint="eastAsia"/>
          <w:b/>
          <w:bCs/>
          <w:color w:val="000000"/>
          <w:sz w:val="20"/>
          <w:szCs w:val="20"/>
        </w:rPr>
      </w:pPr>
      <w:r>
        <w:rPr>
          <w:rFonts w:hint="eastAsia"/>
          <w:b/>
          <w:bCs/>
          <w:color w:val="000000"/>
          <w:sz w:val="20"/>
          <w:szCs w:val="20"/>
        </w:rPr>
        <w:t>课程网站网址：【https://elearning.gench.edu.cn:8443/webapps/blackboard/content/listContentEditable.jsp?content_id=_171805_1&amp;course_id=_22511_1&amp;mode=rese</w:t>
      </w:r>
      <w:r>
        <w:rPr>
          <w:rFonts w:hint="eastAsia"/>
          <w:b/>
          <w:bCs/>
          <w:color w:val="000000"/>
          <w:sz w:val="20"/>
          <w:szCs w:val="20"/>
          <w:lang w:val="en-US" w:eastAsia="zh-CN"/>
        </w:rPr>
        <w:t>t</w:t>
      </w:r>
      <w:r>
        <w:rPr>
          <w:rFonts w:hint="eastAsia"/>
          <w:b/>
          <w:bCs/>
          <w:color w:val="000000"/>
          <w:sz w:val="20"/>
          <w:szCs w:val="20"/>
        </w:rPr>
        <w:t>】</w:t>
      </w:r>
    </w:p>
    <w:p>
      <w:pPr>
        <w:snapToGrid w:val="0"/>
        <w:spacing w:line="288" w:lineRule="auto"/>
        <w:ind w:firstLine="394" w:firstLineChars="196"/>
        <w:rPr>
          <w:rFonts w:hint="eastAsia"/>
          <w:b/>
          <w:bCs/>
          <w:color w:val="000000"/>
          <w:sz w:val="20"/>
          <w:szCs w:val="20"/>
        </w:rPr>
      </w:pPr>
      <w:r>
        <w:rPr>
          <w:rFonts w:hint="eastAsia"/>
          <w:b/>
          <w:bCs/>
          <w:color w:val="000000"/>
          <w:sz w:val="20"/>
          <w:szCs w:val="20"/>
        </w:rPr>
        <w:t>先修课程：【</w:t>
      </w:r>
      <w:r>
        <w:rPr>
          <w:rFonts w:hint="eastAsia"/>
          <w:color w:val="000000"/>
          <w:sz w:val="20"/>
          <w:szCs w:val="20"/>
          <w:lang w:eastAsia="zh-CN"/>
        </w:rPr>
        <w:t>无</w:t>
      </w:r>
      <w:r>
        <w:rPr>
          <w:rFonts w:hint="eastAsia"/>
          <w:b/>
          <w:bCs/>
          <w:color w:val="000000"/>
          <w:sz w:val="20"/>
          <w:szCs w:val="20"/>
        </w:rPr>
        <w:t>】</w:t>
      </w:r>
    </w:p>
    <w:p>
      <w:pPr>
        <w:snapToGrid w:val="0"/>
        <w:spacing w:line="288" w:lineRule="auto"/>
        <w:ind w:firstLine="394" w:firstLineChars="196"/>
        <w:rPr>
          <w:rFonts w:hint="eastAsia"/>
          <w:b/>
          <w:bCs/>
          <w:color w:val="000000"/>
          <w:sz w:val="20"/>
          <w:szCs w:val="20"/>
        </w:rPr>
      </w:pP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48" w:firstLineChars="145"/>
        <w:textAlignment w:val="auto"/>
        <w:outlineLvl w:val="9"/>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eastAsia"/>
          <w:color w:val="000000"/>
          <w:sz w:val="20"/>
          <w:szCs w:val="20"/>
        </w:rPr>
      </w:pPr>
      <w:r>
        <w:rPr>
          <w:rFonts w:hint="eastAsia"/>
          <w:bCs/>
          <w:color w:val="000000"/>
          <w:sz w:val="20"/>
          <w:szCs w:val="20"/>
        </w:rPr>
        <w:t>中</w:t>
      </w:r>
      <w:r>
        <w:rPr>
          <w:rFonts w:hint="eastAsia"/>
          <w:bCs/>
          <w:color w:val="000000"/>
          <w:sz w:val="20"/>
          <w:szCs w:val="20"/>
          <w:lang w:eastAsia="zh-CN"/>
        </w:rPr>
        <w:t>外</w:t>
      </w:r>
      <w:r>
        <w:rPr>
          <w:rFonts w:hint="eastAsia"/>
          <w:bCs/>
          <w:color w:val="000000"/>
          <w:sz w:val="20"/>
          <w:szCs w:val="20"/>
        </w:rPr>
        <w:t>文学源远流长，博大精深。学习中</w:t>
      </w:r>
      <w:r>
        <w:rPr>
          <w:rFonts w:hint="eastAsia"/>
          <w:bCs/>
          <w:color w:val="000000"/>
          <w:sz w:val="20"/>
          <w:szCs w:val="20"/>
          <w:lang w:eastAsia="zh-CN"/>
        </w:rPr>
        <w:t>外</w:t>
      </w:r>
      <w:r>
        <w:rPr>
          <w:rFonts w:hint="eastAsia"/>
          <w:bCs/>
          <w:color w:val="000000"/>
          <w:sz w:val="20"/>
          <w:szCs w:val="20"/>
        </w:rPr>
        <w:t>文学中的经典作品，</w:t>
      </w:r>
      <w:r>
        <w:rPr>
          <w:rFonts w:hint="eastAsia"/>
          <w:color w:val="000000"/>
          <w:sz w:val="20"/>
          <w:szCs w:val="20"/>
        </w:rPr>
        <w:t>可以</w:t>
      </w:r>
      <w:r>
        <w:rPr>
          <w:rFonts w:hint="eastAsia"/>
          <w:bCs/>
          <w:color w:val="000000"/>
          <w:sz w:val="20"/>
          <w:szCs w:val="20"/>
        </w:rPr>
        <w:t>加强学生的人文素养，</w:t>
      </w:r>
      <w:r>
        <w:rPr>
          <w:rFonts w:hint="eastAsia"/>
          <w:color w:val="000000"/>
          <w:sz w:val="20"/>
          <w:szCs w:val="20"/>
        </w:rPr>
        <w:t>培养学生的人文精神，并从基础的角度有效提高</w:t>
      </w:r>
      <w:r>
        <w:rPr>
          <w:rFonts w:hint="eastAsia"/>
          <w:bCs/>
          <w:color w:val="000000"/>
          <w:sz w:val="20"/>
          <w:szCs w:val="20"/>
        </w:rPr>
        <w:t>新闻传播类、文化类应用型人才的核心能力，促使其具有</w:t>
      </w:r>
      <w:r>
        <w:rPr>
          <w:rFonts w:hint="eastAsia"/>
          <w:color w:val="000000"/>
          <w:sz w:val="20"/>
          <w:szCs w:val="20"/>
        </w:rPr>
        <w:t>较好的思想水平和文化涵养、较高的情商、良好的讲故事能力、视觉化叙事能力、制作有深度的媒体内容的能力，以及办文、办会、办事能力。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eastAsia"/>
          <w:color w:val="000000"/>
          <w:sz w:val="20"/>
          <w:szCs w:val="20"/>
        </w:rPr>
      </w:pPr>
      <w:r>
        <w:rPr>
          <w:rFonts w:hint="eastAsia"/>
          <w:color w:val="000000"/>
          <w:sz w:val="20"/>
          <w:szCs w:val="20"/>
        </w:rPr>
        <w:t>本课程选取中</w:t>
      </w:r>
      <w:r>
        <w:rPr>
          <w:rFonts w:hint="eastAsia"/>
          <w:color w:val="000000"/>
          <w:sz w:val="20"/>
          <w:szCs w:val="20"/>
          <w:lang w:eastAsia="zh-CN"/>
        </w:rPr>
        <w:t>外</w:t>
      </w:r>
      <w:r>
        <w:rPr>
          <w:rFonts w:hint="eastAsia"/>
          <w:color w:val="000000"/>
          <w:sz w:val="20"/>
          <w:szCs w:val="20"/>
        </w:rPr>
        <w:t>古代文学史、现当代文学史上，诗歌、散文、小说、戏剧四大文学体裁中的经典篇目，大致以作品产生时代为序进行导读。以作品文本的细读为中心，在生动解读文本的基础上，诠释背景、串联古今，拓展学生的社会历史文化视野，将文学作品跟相关图像、影视及其他艺术形态作出比较、联系，并引导学生诵读作品、</w:t>
      </w:r>
      <w:r>
        <w:rPr>
          <w:rFonts w:hint="eastAsia"/>
          <w:color w:val="000000"/>
          <w:sz w:val="20"/>
          <w:szCs w:val="20"/>
          <w:lang w:eastAsia="zh-CN"/>
        </w:rPr>
        <w:t>以小组为单位</w:t>
      </w:r>
      <w:r>
        <w:rPr>
          <w:rFonts w:hint="eastAsia"/>
          <w:color w:val="000000"/>
          <w:sz w:val="20"/>
          <w:szCs w:val="20"/>
        </w:rPr>
        <w:t>参与讨论、讲述专题、撰写相关的读书笔记等。</w:t>
      </w:r>
    </w:p>
    <w:p>
      <w:pPr>
        <w:keepNext w:val="0"/>
        <w:keepLines w:val="0"/>
        <w:pageBreakBefore w:val="0"/>
        <w:widowControl/>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color w:val="000000"/>
          <w:sz w:val="20"/>
          <w:szCs w:val="20"/>
          <w:lang w:val="en-US" w:eastAsia="zh-CN"/>
        </w:rPr>
        <w:t>本课程分为六个单元：第一单元为古代文学部分，选择《诗经》、《楚辞》、唐诗、宋词、元曲、爱国主义经典文学作品、明清小说中的四大名著进行导读：第二单元为近现代文学部分，选择近现代革命文学作品、老舍、茅盾等的小说进行导读：第三单元为当代文学部分，选择莫言、王安忆等的长篇小说进行导读。</w:t>
      </w:r>
      <w:r>
        <w:rPr>
          <w:rFonts w:hint="eastAsia" w:asciiTheme="minorEastAsia" w:hAnsiTheme="minorEastAsia" w:eastAsiaTheme="minorEastAsia" w:cstheme="minorEastAsia"/>
          <w:color w:val="000000"/>
          <w:kern w:val="0"/>
          <w:sz w:val="21"/>
          <w:szCs w:val="21"/>
          <w:lang w:val="en-US" w:eastAsia="zh-CN"/>
        </w:rPr>
        <w:t>第四单元为西方古代文学，以古希腊罗马文学作品和《圣经》（智慧书）节选进行导读：第五单元为西方近现代文学部分：近代文学即文艺复兴时期的文学作品（神曲、十日谈、唐吉坷德、莎士比亚戏剧）和西欧现代文学（歌德、勃朗特三姐妹、狄更斯、司汤达、巴尔扎克等的作品）、俄罗斯现代文学（普希金、托尔斯泰、契诃夫、屠格涅夫和陀思妥耶夫斯基等的作品）进行导读。第六单元为西方当代文学，选择海明威、马尔克斯、卡夫卡、福克纳、博尔赫斯等的作品和印度文学、日本文学的一些名著进行导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eastAsia" w:eastAsia="宋体"/>
          <w:color w:val="000000"/>
          <w:sz w:val="20"/>
          <w:szCs w:val="20"/>
          <w:lang w:eastAsia="zh-CN"/>
        </w:rPr>
      </w:pPr>
      <w:r>
        <w:rPr>
          <w:rFonts w:hint="eastAsia"/>
          <w:color w:val="000000"/>
          <w:sz w:val="20"/>
          <w:szCs w:val="20"/>
          <w:lang w:eastAsia="zh-CN"/>
        </w:rPr>
        <w:t>本课程建议课程学时数</w:t>
      </w:r>
      <w:r>
        <w:rPr>
          <w:rFonts w:hint="eastAsia"/>
          <w:color w:val="000000"/>
          <w:sz w:val="20"/>
          <w:szCs w:val="20"/>
          <w:lang w:val="en-US" w:eastAsia="zh-CN"/>
        </w:rPr>
        <w:t>32，其中理论课时数32。</w:t>
      </w:r>
    </w:p>
    <w:p>
      <w:pPr>
        <w:widowControl/>
        <w:spacing w:beforeLines="50" w:afterLines="50" w:line="288" w:lineRule="auto"/>
        <w:ind w:firstLine="480" w:firstLineChars="2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400" w:firstLineChars="200"/>
        <w:jc w:val="left"/>
        <w:rPr>
          <w:rFonts w:hint="eastAsia" w:ascii="黑体" w:hAnsi="宋体" w:eastAsia="黑体"/>
          <w:sz w:val="24"/>
          <w:lang w:eastAsia="zh-CN"/>
        </w:rPr>
      </w:pPr>
      <w:r>
        <w:rPr>
          <w:rFonts w:hint="eastAsia"/>
          <w:color w:val="000000"/>
          <w:sz w:val="20"/>
          <w:szCs w:val="20"/>
        </w:rPr>
        <w:t>建议在大学一年级第一学期或第二学期开课，新闻传播学院</w:t>
      </w:r>
      <w:r>
        <w:rPr>
          <w:rFonts w:hint="eastAsia"/>
          <w:color w:val="000000"/>
          <w:sz w:val="20"/>
          <w:szCs w:val="20"/>
          <w:lang w:eastAsia="zh-CN"/>
        </w:rPr>
        <w:t>所有</w:t>
      </w:r>
      <w:r>
        <w:rPr>
          <w:rFonts w:hint="eastAsia"/>
          <w:color w:val="000000"/>
          <w:sz w:val="20"/>
          <w:szCs w:val="20"/>
        </w:rPr>
        <w:t>专业本科生必修</w:t>
      </w:r>
      <w:r>
        <w:rPr>
          <w:color w:val="000000"/>
          <w:sz w:val="20"/>
          <w:szCs w:val="20"/>
        </w:rPr>
        <w:t>。</w:t>
      </w:r>
    </w:p>
    <w:p>
      <w:pPr>
        <w:widowControl/>
        <w:numPr>
          <w:ilvl w:val="0"/>
          <w:numId w:val="0"/>
        </w:numPr>
        <w:spacing w:beforeLines="50" w:afterLines="50" w:line="288" w:lineRule="auto"/>
        <w:ind w:firstLine="480" w:firstLineChars="200"/>
        <w:jc w:val="left"/>
        <w:rPr>
          <w:rFonts w:ascii="黑体" w:hAnsi="宋体" w:eastAsia="黑体"/>
          <w:sz w:val="24"/>
        </w:rPr>
      </w:pPr>
      <w:r>
        <w:rPr>
          <w:rFonts w:hint="eastAsia" w:ascii="黑体" w:hAnsi="宋体" w:eastAsia="黑体"/>
          <w:sz w:val="24"/>
          <w:lang w:eastAsia="zh-CN"/>
        </w:rPr>
        <w:t>四、</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rPr>
          <w:rFonts w:hint="eastAsia"/>
        </w:rPr>
      </w:pPr>
    </w:p>
    <w:tbl>
      <w:tblPr>
        <w:tblStyle w:val="5"/>
        <w:tblW w:w="8429" w:type="dxa"/>
        <w:tblInd w:w="93" w:type="dxa"/>
        <w:tblLayout w:type="fixed"/>
        <w:tblCellMar>
          <w:top w:w="0" w:type="dxa"/>
          <w:left w:w="108" w:type="dxa"/>
          <w:bottom w:w="0" w:type="dxa"/>
          <w:right w:w="108" w:type="dxa"/>
        </w:tblCellMar>
      </w:tblPr>
      <w:tblGrid>
        <w:gridCol w:w="700"/>
        <w:gridCol w:w="1129"/>
        <w:gridCol w:w="5525"/>
        <w:gridCol w:w="1075"/>
      </w:tblGrid>
      <w:tr>
        <w:tblPrEx>
          <w:tblLayout w:type="fixed"/>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3</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LO</w:t>
            </w:r>
            <w:r>
              <w:rPr>
                <w:rFonts w:hint="eastAsia" w:ascii="宋体" w:hAnsi="宋体" w:cs="宋体"/>
                <w:color w:val="000000"/>
                <w:kern w:val="0"/>
                <w:sz w:val="22"/>
                <w:lang w:val="en-US" w:eastAsia="zh-CN"/>
              </w:rPr>
              <w:t>3</w:t>
            </w:r>
            <w:r>
              <w:rPr>
                <w:rFonts w:hint="eastAsia" w:ascii="宋体" w:hAnsi="宋体" w:cs="宋体"/>
                <w:color w:val="000000"/>
                <w:kern w:val="0"/>
                <w:sz w:val="22"/>
              </w:rPr>
              <w:t>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840" w:firstLineChars="400"/>
              <w:jc w:val="left"/>
              <w:rPr>
                <w:rFonts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eastAsia="zh-CN"/>
              </w:rPr>
              <w:t>对信息进行性质识别和价值判断</w:t>
            </w:r>
            <w:r>
              <w:rPr>
                <w:rFonts w:hint="eastAsia" w:asciiTheme="minorEastAsia" w:hAnsiTheme="minorEastAsia" w:eastAsiaTheme="minorEastAsia" w:cstheme="minorEastAsia"/>
                <w:color w:val="000000"/>
                <w:kern w:val="0"/>
                <w:sz w:val="21"/>
                <w:szCs w:val="21"/>
              </w:rPr>
              <w:t>。</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w:t>
            </w:r>
            <w:r>
              <w:rPr>
                <w:rFonts w:hint="eastAsia" w:ascii="宋体" w:hAnsi="宋体" w:cs="宋体"/>
                <w:color w:val="000000"/>
                <w:kern w:val="0"/>
                <w:sz w:val="22"/>
              </w:rPr>
              <w:t>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w:t>
            </w:r>
            <w:r>
              <w:rPr>
                <w:rFonts w:hint="eastAsia" w:asciiTheme="minorEastAsia" w:hAnsiTheme="minorEastAsia" w:eastAsiaTheme="minorEastAsia" w:cstheme="minorEastAsia"/>
                <w:color w:val="000000"/>
                <w:kern w:val="0"/>
                <w:sz w:val="21"/>
                <w:szCs w:val="21"/>
                <w:lang w:val="en-US" w:eastAsia="zh-CN"/>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30" w:firstLineChars="3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pPr>
        <w:rPr>
          <w:rFonts w:hint="eastAsia"/>
        </w:rPr>
      </w:pPr>
    </w:p>
    <w:p>
      <w:pPr>
        <w:ind w:firstLine="420" w:firstLineChars="200"/>
      </w:pPr>
      <w:r>
        <w:rPr>
          <w:rFonts w:hint="eastAsia"/>
        </w:rPr>
        <w:t>备注：LO=</w:t>
      </w:r>
      <w:r>
        <w:t>learning outcomes</w:t>
      </w:r>
      <w:r>
        <w:rPr>
          <w:rFonts w:hint="eastAsia"/>
        </w:rPr>
        <w:t>（学习成果）</w:t>
      </w:r>
    </w:p>
    <w:p/>
    <w:p>
      <w:pPr>
        <w:widowControl/>
        <w:numPr>
          <w:ilvl w:val="0"/>
          <w:numId w:val="1"/>
        </w:numPr>
        <w:spacing w:beforeLines="50" w:afterLines="50" w:line="288" w:lineRule="auto"/>
        <w:ind w:firstLine="360" w:firstLineChars="150"/>
        <w:jc w:val="left"/>
        <w:rPr>
          <w:rFonts w:hint="eastAsia" w:ascii="黑体" w:hAnsi="宋体" w:eastAsia="黑体"/>
          <w:sz w:val="24"/>
        </w:rPr>
      </w:pP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widowControl/>
        <w:numPr>
          <w:ilvl w:val="0"/>
          <w:numId w:val="0"/>
        </w:numPr>
        <w:spacing w:beforeLines="50" w:afterLines="50" w:line="288" w:lineRule="auto"/>
        <w:jc w:val="left"/>
        <w:rPr>
          <w:rFonts w:hint="eastAsia" w:ascii="黑体" w:hAnsi="宋体" w:eastAsia="黑体"/>
          <w:sz w:val="24"/>
        </w:rPr>
      </w:pPr>
    </w:p>
    <w:tbl>
      <w:tblPr>
        <w:tblStyle w:val="5"/>
        <w:tblpPr w:leftFromText="180" w:rightFromText="180" w:vertAnchor="text" w:horzAnchor="page" w:tblpX="1913" w:tblpY="152"/>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963"/>
        <w:gridCol w:w="2250"/>
        <w:gridCol w:w="2979"/>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序号</w:t>
            </w:r>
          </w:p>
        </w:tc>
        <w:tc>
          <w:tcPr>
            <w:tcW w:w="963" w:type="dxa"/>
            <w:shd w:val="clear" w:color="auto" w:fill="auto"/>
            <w:vAlign w:val="center"/>
          </w:tcPr>
          <w:p>
            <w:pPr>
              <w:snapToGrid w:val="0"/>
              <w:spacing w:line="288" w:lineRule="auto"/>
              <w:jc w:val="center"/>
              <w:rPr>
                <w:rFonts w:hint="eastAsia"/>
                <w:b/>
                <w:color w:val="000000"/>
                <w:sz w:val="20"/>
                <w:szCs w:val="20"/>
              </w:rPr>
            </w:pPr>
            <w:r>
              <w:rPr>
                <w:rFonts w:hint="eastAsia"/>
                <w:b/>
                <w:color w:val="000000"/>
                <w:sz w:val="20"/>
                <w:szCs w:val="20"/>
              </w:rPr>
              <w:t>课程</w:t>
            </w:r>
            <w:r>
              <w:rPr>
                <w:rFonts w:hint="eastAsia"/>
                <w:b/>
                <w:color w:val="000000"/>
                <w:sz w:val="20"/>
                <w:szCs w:val="20"/>
                <w:lang w:eastAsia="zh-CN"/>
              </w:rPr>
              <w:t>预期</w:t>
            </w:r>
            <w:r>
              <w:rPr>
                <w:rFonts w:hint="eastAsia"/>
                <w:b/>
                <w:color w:val="000000"/>
                <w:sz w:val="20"/>
                <w:szCs w:val="20"/>
              </w:rPr>
              <w:t>学习</w:t>
            </w:r>
          </w:p>
          <w:p>
            <w:pPr>
              <w:snapToGrid w:val="0"/>
              <w:spacing w:line="288" w:lineRule="auto"/>
              <w:jc w:val="center"/>
              <w:rPr>
                <w:b/>
                <w:color w:val="000000"/>
                <w:sz w:val="20"/>
                <w:szCs w:val="20"/>
              </w:rPr>
            </w:pPr>
            <w:r>
              <w:rPr>
                <w:rFonts w:hint="eastAsia"/>
                <w:b/>
                <w:color w:val="000000"/>
                <w:sz w:val="20"/>
                <w:szCs w:val="20"/>
              </w:rPr>
              <w:t>成果</w:t>
            </w:r>
          </w:p>
        </w:tc>
        <w:tc>
          <w:tcPr>
            <w:tcW w:w="225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97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6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shd w:val="clear" w:color="auto" w:fill="auto"/>
            <w:vAlign w:val="center"/>
          </w:tcPr>
          <w:p>
            <w:pPr>
              <w:jc w:val="both"/>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963"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312</w:t>
            </w:r>
          </w:p>
        </w:tc>
        <w:tc>
          <w:tcPr>
            <w:tcW w:w="2250" w:type="dxa"/>
            <w:shd w:val="clear" w:color="auto" w:fill="auto"/>
            <w:vAlign w:val="center"/>
          </w:tcPr>
          <w:p>
            <w:pPr>
              <w:spacing w:line="240" w:lineRule="auto"/>
              <w:jc w:val="center"/>
              <w:rPr>
                <w:rFonts w:hint="eastAsia" w:asciiTheme="minorEastAsia" w:hAnsiTheme="minorEastAsia" w:eastAsiaTheme="minorEastAsia" w:cstheme="minorEastAsia"/>
                <w:color w:val="000000"/>
                <w:kern w:val="0"/>
                <w:sz w:val="21"/>
                <w:szCs w:val="21"/>
                <w:lang w:eastAsia="zh-CN"/>
              </w:rPr>
            </w:pPr>
          </w:p>
          <w:p>
            <w:pPr>
              <w:spacing w:line="240" w:lineRule="auto"/>
              <w:jc w:val="both"/>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 w:val="21"/>
                <w:szCs w:val="21"/>
                <w:lang w:eastAsia="zh-CN"/>
              </w:rPr>
              <w:t>对信息进行性质识别和价值判断</w:t>
            </w:r>
            <w:r>
              <w:rPr>
                <w:rFonts w:hint="eastAsia" w:asciiTheme="minorEastAsia" w:hAnsiTheme="minorEastAsia" w:eastAsiaTheme="minorEastAsia" w:cstheme="minorEastAsia"/>
                <w:color w:val="000000"/>
                <w:kern w:val="0"/>
                <w:sz w:val="21"/>
                <w:szCs w:val="21"/>
              </w:rPr>
              <w:t>。</w:t>
            </w:r>
          </w:p>
        </w:tc>
        <w:tc>
          <w:tcPr>
            <w:tcW w:w="2979" w:type="dxa"/>
            <w:shd w:val="clear" w:color="auto" w:fill="auto"/>
            <w:vAlign w:val="center"/>
          </w:tcPr>
          <w:p>
            <w:pPr>
              <w:snapToGrid w:val="0"/>
              <w:spacing w:line="288" w:lineRule="auto"/>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课堂讲授作品分析</w:t>
            </w:r>
          </w:p>
          <w:p>
            <w:pPr>
              <w:snapToGrid w:val="0"/>
              <w:spacing w:line="288"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学生小组诵读、评论</w:t>
            </w:r>
          </w:p>
          <w:p>
            <w:pPr>
              <w:snapToGrid w:val="0"/>
              <w:spacing w:line="288"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通过仔细阅读某一种形式的文学作品（诗歌、散文、小说等），对其所包含的丰富的信息进行较为全面的了解和重点识别，并根据作者的生平、创作背景和文本内容，进行作品诵读和作品分析，最后形成对该作品的艺术审美价值、社会道德价值和其他价值的综合判断。</w:t>
            </w:r>
          </w:p>
        </w:tc>
        <w:tc>
          <w:tcPr>
            <w:tcW w:w="1765" w:type="dxa"/>
            <w:shd w:val="clear" w:color="auto" w:fill="auto"/>
            <w:vAlign w:val="center"/>
          </w:tcPr>
          <w:p>
            <w:pPr>
              <w:snapToGrid w:val="0"/>
              <w:spacing w:line="288" w:lineRule="auto"/>
              <w:jc w:val="both"/>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作品鉴赏小测验</w:t>
            </w:r>
          </w:p>
          <w:p>
            <w:pPr>
              <w:snapToGrid w:val="0"/>
              <w:spacing w:line="288"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对一首诗歌或一篇散文或一部短篇小说进行鉴赏。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shd w:val="clear" w:color="auto" w:fill="auto"/>
            <w:vAlign w:val="center"/>
          </w:tcPr>
          <w:p>
            <w:pPr>
              <w:jc w:val="both"/>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963" w:type="dxa"/>
            <w:shd w:val="clear" w:color="auto" w:fill="auto"/>
            <w:vAlign w:val="center"/>
          </w:tcPr>
          <w:p>
            <w:pPr>
              <w:jc w:val="both"/>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611</w:t>
            </w:r>
          </w:p>
        </w:tc>
        <w:tc>
          <w:tcPr>
            <w:tcW w:w="2250" w:type="dxa"/>
            <w:shd w:val="clear" w:color="auto" w:fill="auto"/>
            <w:vAlign w:val="center"/>
          </w:tcPr>
          <w:p>
            <w:pPr>
              <w:jc w:val="both"/>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 w:val="21"/>
                <w:szCs w:val="21"/>
                <w:lang w:val="en-US" w:eastAsia="zh-CN"/>
              </w:rPr>
              <w:t>能够根据需要进行专业文献检索。</w:t>
            </w:r>
          </w:p>
        </w:tc>
        <w:tc>
          <w:tcPr>
            <w:tcW w:w="2979" w:type="dxa"/>
            <w:shd w:val="clear" w:color="auto" w:fill="auto"/>
            <w:vAlign w:val="center"/>
          </w:tcPr>
          <w:p>
            <w:pPr>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教师指导与学生检索</w:t>
            </w:r>
          </w:p>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对一种文学现象或作品、人物、风格等的研究现状（包括成果）进行检索，并从一定角度对这些现状进行初步的梳理和总结。</w:t>
            </w:r>
          </w:p>
        </w:tc>
        <w:tc>
          <w:tcPr>
            <w:tcW w:w="1765" w:type="dxa"/>
            <w:shd w:val="clear" w:color="auto" w:fill="auto"/>
            <w:vAlign w:val="center"/>
          </w:tcPr>
          <w:p>
            <w:pPr>
              <w:snapToGrid w:val="0"/>
              <w:spacing w:line="288" w:lineRule="auto"/>
              <w:ind w:firstLine="211" w:firstLineChars="100"/>
              <w:jc w:val="both"/>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读书报告</w:t>
            </w:r>
          </w:p>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完成一份微角度的文学研究的文献综述报告。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shd w:val="clear" w:color="auto" w:fill="auto"/>
            <w:vAlign w:val="center"/>
          </w:tcPr>
          <w:p>
            <w:pPr>
              <w:jc w:val="both"/>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w:t>
            </w:r>
          </w:p>
        </w:tc>
        <w:tc>
          <w:tcPr>
            <w:tcW w:w="963" w:type="dxa"/>
            <w:shd w:val="clear" w:color="auto" w:fill="auto"/>
            <w:vAlign w:val="center"/>
          </w:tcPr>
          <w:p>
            <w:pPr>
              <w:jc w:val="both"/>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250" w:type="dxa"/>
            <w:shd w:val="clear" w:color="auto" w:fill="auto"/>
            <w:vAlign w:val="center"/>
          </w:tcPr>
          <w:p>
            <w:pPr>
              <w:jc w:val="both"/>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 w:val="21"/>
                <w:szCs w:val="21"/>
                <w:lang w:val="en-US" w:eastAsia="zh-CN"/>
              </w:rPr>
              <w:t>爱党爱国：了解祖国的优秀传统文化和革命历史，构建爱党爱国的理想信念。</w:t>
            </w:r>
          </w:p>
        </w:tc>
        <w:tc>
          <w:tcPr>
            <w:tcW w:w="2979" w:type="dxa"/>
            <w:shd w:val="clear" w:color="auto" w:fill="auto"/>
            <w:vAlign w:val="center"/>
          </w:tcPr>
          <w:p>
            <w:pPr>
              <w:jc w:val="center"/>
              <w:rPr>
                <w:rFonts w:hint="eastAsia" w:asciiTheme="minorEastAsia" w:hAnsiTheme="minorEastAsia" w:eastAsiaTheme="minorEastAsia" w:cstheme="minorEastAsia"/>
                <w:color w:val="000000"/>
                <w:kern w:val="0"/>
                <w:sz w:val="21"/>
                <w:szCs w:val="21"/>
                <w:lang w:val="en-US" w:eastAsia="zh-CN"/>
              </w:rPr>
            </w:pPr>
          </w:p>
          <w:p>
            <w:pPr>
              <w:snapToGrid w:val="0"/>
              <w:spacing w:line="288" w:lineRule="auto"/>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课堂讲授作品分析</w:t>
            </w:r>
          </w:p>
          <w:p>
            <w:pPr>
              <w:snapToGrid w:val="0"/>
              <w:spacing w:line="288"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学生小组诵读、评论</w:t>
            </w:r>
          </w:p>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对一些古代爱国主义文学作品和近现代革命文学作品的阅读（诵读）和作品分析、讨论。</w:t>
            </w:r>
          </w:p>
        </w:tc>
        <w:tc>
          <w:tcPr>
            <w:tcW w:w="1765" w:type="dxa"/>
            <w:shd w:val="clear" w:color="auto" w:fill="auto"/>
            <w:vAlign w:val="center"/>
          </w:tcPr>
          <w:p>
            <w:pPr>
              <w:ind w:firstLine="211" w:firstLineChars="100"/>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b/>
                <w:bCs/>
                <w:color w:val="000000"/>
                <w:kern w:val="0"/>
                <w:sz w:val="21"/>
                <w:szCs w:val="21"/>
                <w:lang w:val="en-US" w:eastAsia="zh-CN"/>
              </w:rPr>
              <w:t>小组报告</w:t>
            </w:r>
          </w:p>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以课堂小组为单位，商议推举小组代表进行诵读，然后指派一名同学口头赏析评论。课后以小组为单位整理递交一份诵读文本和口头赏析评论的文字稿。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shd w:val="clear" w:color="auto" w:fill="auto"/>
            <w:vAlign w:val="center"/>
          </w:tcPr>
          <w:p>
            <w:pPr>
              <w:jc w:val="both"/>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w:t>
            </w:r>
          </w:p>
        </w:tc>
        <w:tc>
          <w:tcPr>
            <w:tcW w:w="963" w:type="dxa"/>
            <w:shd w:val="clear" w:color="auto" w:fill="auto"/>
            <w:vAlign w:val="center"/>
          </w:tcPr>
          <w:p>
            <w:pPr>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812</w:t>
            </w:r>
          </w:p>
        </w:tc>
        <w:tc>
          <w:tcPr>
            <w:tcW w:w="2250" w:type="dxa"/>
            <w:shd w:val="clear" w:color="auto" w:fill="auto"/>
            <w:vAlign w:val="center"/>
          </w:tcPr>
          <w:p>
            <w:pPr>
              <w:jc w:val="both"/>
              <w:rPr>
                <w:rFonts w:hint="eastAsia" w:asciiTheme="minorEastAsia" w:hAnsiTheme="minorEastAsia" w:eastAsiaTheme="minorEastAsia" w:cstheme="minorEastAsia"/>
                <w:color w:val="000000"/>
                <w:kern w:val="0"/>
                <w:sz w:val="21"/>
                <w:szCs w:val="21"/>
                <w:lang w:val="en-US" w:eastAsia="zh-CN"/>
              </w:rPr>
            </w:pPr>
          </w:p>
          <w:p>
            <w:pPr>
              <w:jc w:val="both"/>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理解其他国家历史文化，有跨文化交流能力。</w:t>
            </w:r>
          </w:p>
          <w:p>
            <w:pPr>
              <w:jc w:val="center"/>
              <w:rPr>
                <w:rFonts w:hint="eastAsia" w:asciiTheme="minorEastAsia" w:hAnsiTheme="minorEastAsia" w:eastAsiaTheme="minorEastAsia" w:cstheme="minorEastAsia"/>
                <w:color w:val="000000"/>
                <w:kern w:val="0"/>
                <w:sz w:val="21"/>
                <w:szCs w:val="21"/>
                <w:lang w:val="en-US" w:eastAsia="zh-CN"/>
              </w:rPr>
            </w:pPr>
          </w:p>
        </w:tc>
        <w:tc>
          <w:tcPr>
            <w:tcW w:w="2979" w:type="dxa"/>
            <w:shd w:val="clear" w:color="auto" w:fill="auto"/>
            <w:vAlign w:val="center"/>
          </w:tcPr>
          <w:p>
            <w:pPr>
              <w:snapToGrid w:val="0"/>
              <w:spacing w:line="288" w:lineRule="auto"/>
              <w:jc w:val="both"/>
              <w:rPr>
                <w:rFonts w:hint="eastAsia" w:asciiTheme="minorEastAsia" w:hAnsiTheme="minorEastAsia" w:eastAsiaTheme="minorEastAsia" w:cstheme="minorEastAsia"/>
                <w:b/>
                <w:bCs/>
                <w:color w:val="000000"/>
                <w:kern w:val="0"/>
                <w:sz w:val="21"/>
                <w:szCs w:val="21"/>
                <w:lang w:val="en-US" w:eastAsia="zh-CN"/>
              </w:rPr>
            </w:pPr>
          </w:p>
          <w:p>
            <w:pPr>
              <w:snapToGrid w:val="0"/>
              <w:spacing w:line="288" w:lineRule="auto"/>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课堂讲授作品分析</w:t>
            </w:r>
          </w:p>
          <w:p>
            <w:pPr>
              <w:snapToGrid w:val="0"/>
              <w:spacing w:line="288"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学生小组诵读、评论</w:t>
            </w:r>
          </w:p>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对一些经典外国文学作品进行双语的阅读（诵读）和作品分析、讨论。</w:t>
            </w:r>
          </w:p>
        </w:tc>
        <w:tc>
          <w:tcPr>
            <w:tcW w:w="1765" w:type="dxa"/>
            <w:shd w:val="clear" w:color="auto" w:fill="auto"/>
            <w:vAlign w:val="center"/>
          </w:tcPr>
          <w:p>
            <w:pPr>
              <w:ind w:firstLine="211" w:firstLineChars="100"/>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b/>
                <w:bCs/>
                <w:color w:val="000000"/>
                <w:kern w:val="0"/>
                <w:sz w:val="21"/>
                <w:szCs w:val="21"/>
                <w:lang w:val="en-US" w:eastAsia="zh-CN"/>
              </w:rPr>
              <w:t>小组报告</w:t>
            </w:r>
          </w:p>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以课堂小组为单位，商议推举小组代表进行诵读，然后指派一名同学口头赏析评论。课后以小组为单位整理递交一份诵读文本和口头赏析评论的文字稿。</w:t>
            </w:r>
          </w:p>
        </w:tc>
      </w:tr>
    </w:tbl>
    <w:p>
      <w:pPr>
        <w:widowControl/>
        <w:spacing w:beforeLines="50" w:afterLines="50" w:line="288" w:lineRule="auto"/>
        <w:jc w:val="left"/>
        <w:rPr>
          <w:rFonts w:hint="eastAsia" w:ascii="黑体" w:hAnsi="宋体" w:eastAsia="黑体"/>
          <w:sz w:val="24"/>
        </w:rPr>
      </w:pPr>
    </w:p>
    <w:p>
      <w:pPr>
        <w:widowControl/>
        <w:spacing w:beforeLines="50" w:afterLines="50" w:line="288" w:lineRule="auto"/>
        <w:ind w:firstLine="360" w:firstLineChars="150"/>
        <w:jc w:val="left"/>
        <w:rPr>
          <w:rFonts w:ascii="宋体" w:hAnsi="宋体"/>
          <w:sz w:val="20"/>
          <w:szCs w:val="20"/>
        </w:rPr>
      </w:pPr>
      <w:r>
        <w:rPr>
          <w:rFonts w:hint="eastAsia" w:ascii="黑体" w:hAnsi="宋体" w:eastAsia="黑体"/>
          <w:sz w:val="24"/>
        </w:rPr>
        <w:t>六、课程内容（必填项）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cs="黑体"/>
          <w:color w:val="000000"/>
          <w:kern w:val="0"/>
          <w:sz w:val="24"/>
          <w:szCs w:val="24"/>
          <w:lang w:val="en-US" w:eastAsia="zh-CN"/>
        </w:rPr>
        <w:t>绪论（学习的目的和价值、课程简介、考核方式和要求等）（2课时）</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学习本门课程的目的和价值：中外文学与新闻、广告、传播、秘书专业的姻亲关系。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课程简介、考核方式和要求。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cs="黑体"/>
          <w:color w:val="000000"/>
          <w:kern w:val="0"/>
          <w:sz w:val="24"/>
          <w:szCs w:val="24"/>
          <w:lang w:val="en-US" w:eastAsia="zh-CN"/>
        </w:rPr>
        <w:t>第一单元：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cs="黑体"/>
          <w:color w:val="000000"/>
          <w:kern w:val="0"/>
          <w:sz w:val="24"/>
          <w:szCs w:val="24"/>
          <w:lang w:val="en-US" w:eastAsia="zh-CN"/>
        </w:rPr>
        <w:t xml:space="preserve">1、《诗经》选读（2课时）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《诗经》篇数（305篇）、内容分类（风、雅、颂）和艺术表现手法分类（赋、比、兴），并能背诵2-3首的诗歌。</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《诗经》的艺术表现手法分类（赋、比、兴）的含义。</w:t>
      </w:r>
      <w:r>
        <w:rPr>
          <w:rFonts w:hint="eastAsia" w:ascii="黑体" w:hAnsi="黑体" w:eastAsia="黑体"/>
          <w:b/>
          <w:bCs/>
          <w:color w:val="FF0000"/>
          <w:sz w:val="21"/>
          <w:szCs w:val="21"/>
          <w:lang w:val="en-US" w:eastAsia="zh-CN"/>
        </w:rPr>
        <w:t>运用</w:t>
      </w:r>
      <w:r>
        <w:rPr>
          <w:rFonts w:hint="eastAsia" w:asciiTheme="minorEastAsia" w:hAnsiTheme="minorEastAsia" w:eastAsiaTheme="minorEastAsia" w:cstheme="minorEastAsia"/>
          <w:color w:val="000000"/>
          <w:kern w:val="0"/>
          <w:sz w:val="21"/>
          <w:szCs w:val="21"/>
          <w:lang w:val="en-US" w:eastAsia="zh-CN"/>
        </w:rPr>
        <w:t>（赋、比、兴）艺术表现手法，</w:t>
      </w:r>
      <w:r>
        <w:rPr>
          <w:rFonts w:hint="eastAsia" w:ascii="黑体" w:hAnsi="黑体" w:eastAsia="黑体"/>
          <w:b/>
          <w:bCs/>
          <w:color w:val="FF0000"/>
          <w:sz w:val="21"/>
          <w:szCs w:val="21"/>
          <w:lang w:val="en-US" w:eastAsia="zh-CN"/>
        </w:rPr>
        <w:t>综合</w:t>
      </w:r>
      <w:r>
        <w:rPr>
          <w:rFonts w:hint="eastAsia" w:asciiTheme="minorEastAsia" w:hAnsiTheme="minorEastAsia" w:eastAsiaTheme="minorEastAsia" w:cstheme="minorEastAsia"/>
          <w:color w:val="000000"/>
          <w:kern w:val="0"/>
          <w:sz w:val="21"/>
          <w:szCs w:val="21"/>
          <w:lang w:val="en-US" w:eastAsia="zh-CN"/>
        </w:rPr>
        <w:t>时代背景，</w:t>
      </w:r>
      <w:r>
        <w:rPr>
          <w:rFonts w:hint="eastAsia" w:ascii="黑体" w:hAnsi="黑体" w:eastAsia="黑体"/>
          <w:b/>
          <w:bCs/>
          <w:color w:val="FF0000"/>
          <w:sz w:val="21"/>
          <w:szCs w:val="21"/>
          <w:lang w:val="en-US" w:eastAsia="zh-CN"/>
        </w:rPr>
        <w:t>分析</w:t>
      </w:r>
      <w:r>
        <w:rPr>
          <w:rFonts w:hint="eastAsia" w:asciiTheme="minorEastAsia" w:hAnsiTheme="minorEastAsia" w:eastAsiaTheme="minorEastAsia" w:cstheme="minorEastAsia"/>
          <w:color w:val="000000"/>
          <w:kern w:val="0"/>
          <w:sz w:val="21"/>
          <w:szCs w:val="21"/>
          <w:lang w:val="en-US" w:eastAsia="zh-CN"/>
        </w:rPr>
        <w:t>《诗经》中的诗歌文本内容，并对所分析的诗歌的主题思想和艺术特色及其影响给予比较入情入理的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2、《楚辞》选读（2课时）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《楚辞》的作者、内容和艺术风格，特别是屈原的生平和作品情况；能熟读和背诵《离骚》部分段落或全篇。</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《离骚》和《天问》的文本内容和艺术表现手法。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w:t>
      </w:r>
      <w:r>
        <w:rPr>
          <w:rFonts w:hint="eastAsia" w:ascii="黑体" w:hAnsi="黑体" w:eastAsia="黑体"/>
          <w:b/>
          <w:bCs/>
          <w:color w:val="FF0000"/>
          <w:sz w:val="21"/>
          <w:szCs w:val="21"/>
          <w:lang w:val="en-US" w:eastAsia="zh-CN"/>
        </w:rPr>
        <w:t>分析</w:t>
      </w:r>
      <w:r>
        <w:rPr>
          <w:rFonts w:hint="eastAsia" w:asciiTheme="minorEastAsia" w:hAnsiTheme="minorEastAsia" w:eastAsiaTheme="minorEastAsia" w:cstheme="minorEastAsia"/>
          <w:color w:val="000000"/>
          <w:kern w:val="0"/>
          <w:sz w:val="21"/>
          <w:szCs w:val="21"/>
          <w:lang w:val="en-US" w:eastAsia="zh-CN"/>
        </w:rPr>
        <w:t>《离骚》和《天问》中的诗歌文本内容，并对所分析的诗歌的主题思想和艺术特色及其影响给予比较入情入理的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cs="黑体"/>
          <w:color w:val="000000"/>
          <w:kern w:val="0"/>
          <w:sz w:val="24"/>
          <w:szCs w:val="24"/>
          <w:lang w:val="en-US" w:eastAsia="zh-CN"/>
        </w:rPr>
        <w:t>3、唐诗选读（6课时）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唐代诗歌分期（初唐、盛唐和晚唐）、风格流派（浪漫主义风格、现实主义风格、山水田园风格、军旅边塞风格等）、代表诗人（陈子昂、李白、杜甫、白居易、李商隐、王维、孟浩然、岑参等）及其生平和作品情况；能熟读和背诵这些代表诗人的部分诗歌。</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唐代诗歌的艺术表现手法。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w:t>
      </w:r>
      <w:r>
        <w:rPr>
          <w:rFonts w:hint="eastAsia" w:ascii="黑体" w:hAnsi="黑体" w:eastAsia="黑体"/>
          <w:b/>
          <w:bCs/>
          <w:color w:val="FF0000"/>
          <w:sz w:val="21"/>
          <w:szCs w:val="21"/>
          <w:lang w:val="en-US" w:eastAsia="zh-CN"/>
        </w:rPr>
        <w:t>分析</w:t>
      </w:r>
      <w:r>
        <w:rPr>
          <w:rFonts w:hint="eastAsia" w:asciiTheme="minorEastAsia" w:hAnsiTheme="minorEastAsia" w:eastAsiaTheme="minorEastAsia" w:cstheme="minorEastAsia"/>
          <w:color w:val="000000"/>
          <w:kern w:val="0"/>
          <w:sz w:val="21"/>
          <w:szCs w:val="21"/>
          <w:lang w:val="en-US" w:eastAsia="zh-CN"/>
        </w:rPr>
        <w:t>唐代诗歌文本内容，并对所分析的诗歌的主题思想和艺术特色及其影响给予比较入情入理的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4、宋词经典选读（2课时）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宋词的风格流派（豪放派和婉约派）、代表诗人（苏轼、辛弃疾和柳永、李清照）及其生平和作品情况；能熟读和背诵这些代表词人的部分作品。</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宋词的艺术表现手法。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w:t>
      </w:r>
      <w:r>
        <w:rPr>
          <w:rFonts w:hint="eastAsia" w:ascii="黑体" w:hAnsi="黑体" w:eastAsia="黑体"/>
          <w:b/>
          <w:bCs/>
          <w:color w:val="FF0000"/>
          <w:sz w:val="21"/>
          <w:szCs w:val="21"/>
          <w:lang w:val="en-US" w:eastAsia="zh-CN"/>
        </w:rPr>
        <w:t>分析</w:t>
      </w:r>
      <w:r>
        <w:rPr>
          <w:rFonts w:hint="eastAsia" w:asciiTheme="minorEastAsia" w:hAnsiTheme="minorEastAsia" w:eastAsiaTheme="minorEastAsia" w:cstheme="minorEastAsia"/>
          <w:color w:val="000000"/>
          <w:kern w:val="0"/>
          <w:sz w:val="21"/>
          <w:szCs w:val="21"/>
          <w:lang w:val="en-US" w:eastAsia="zh-CN"/>
        </w:rPr>
        <w:t>宋词文本内容，并对所分析的词作品的主题思想和艺术特色及其影响给予比较入情入理的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5、爱国主义经典文学作品选读（2课时）</w:t>
      </w:r>
    </w:p>
    <w:p>
      <w:pPr>
        <w:widowControl/>
        <w:spacing w:before="156" w:beforeLines="50" w:after="156" w:afterLines="50" w:line="288" w:lineRule="auto"/>
        <w:ind w:firstLine="422" w:firstLineChars="200"/>
        <w:jc w:val="left"/>
        <w:rPr>
          <w:rFonts w:hint="eastAsia"/>
          <w:bCs/>
          <w:sz w:val="20"/>
          <w:szCs w:val="20"/>
          <w:lang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从东周至清代一些体现爱国主义情怀的代表人物及其生平和文学作品（比如屈原《离骚》、《九歌·国殇》、孟子《滕文公下》、诸葛亮《出师表》、杜甫《春望》等、陆游《示儿》等、文天祥《正气歌》、《指南录后序》、顾炎武《日知录·正始》等；能熟读和背诵这些代表人物的部分作品。</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这些作品的爱国主义思想及其艺术表现手法。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6、《西厢记》和《牡丹亭》导读（2课时）</w:t>
      </w:r>
    </w:p>
    <w:p>
      <w:pPr>
        <w:widowControl/>
        <w:spacing w:before="156" w:beforeLines="50" w:after="156" w:afterLines="50" w:line="288" w:lineRule="auto"/>
        <w:ind w:firstLine="422" w:firstLineChars="200"/>
        <w:jc w:val="left"/>
        <w:rPr>
          <w:rFonts w:hint="eastAsia"/>
          <w:bCs/>
          <w:sz w:val="20"/>
          <w:szCs w:val="20"/>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了解中国古代戏曲的发展简史、著名戏剧作家（关汉卿、汤显祖、王实甫等）及其生平和代表作品（《窦娥冤》、《西厢记》、《牡丹亭》等；能熟读和背诵这些代表作品的经典片段。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7、四大名著导读（《三国演义》、《水浒传》、《西游记》和《红楼梦》）（4课时）</w:t>
      </w:r>
    </w:p>
    <w:p>
      <w:pPr>
        <w:widowControl/>
        <w:spacing w:before="156" w:beforeLines="50" w:after="156" w:afterLines="50" w:line="288" w:lineRule="auto"/>
        <w:ind w:firstLine="422" w:firstLineChars="200"/>
        <w:jc w:val="left"/>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中国古代小说的发展简史、四大名著的作者（罗贯中、施耐庵、吴承恩和曹雪芹）及其代表作品（《三国演义》、《水浒传》、《西游记》和《红楼梦》；能熟读或背诵这些代表作品的经典片段。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这些作品的思想内容、人物及其丰富的艺术表现手法。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时代背景、相关历史和作者生平经历，分析这些作品文本内容，并对所分析的作品的主题思想、典型人物和艺术特色及其影响给予比较入情入理的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第二单元：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1、老舍等作家作品导读（2课时）</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right="0" w:rightChars="0" w:firstLine="422" w:firstLineChars="200"/>
        <w:jc w:val="left"/>
        <w:textAlignment w:val="auto"/>
        <w:outlineLvl w:val="9"/>
        <w:rPr>
          <w:rFonts w:hint="eastAsia"/>
          <w:bCs/>
          <w:sz w:val="20"/>
          <w:szCs w:val="20"/>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中国近现代小说的发展简况、鲁迅、茅盾、老舍、巴金等著名文学家及其代表作品（《阿Q正传》、《子夜》、《四世同堂》和《家》等；能熟读这些代表作品的经典片段。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这些作品的思想内容、人物及其丰富的艺术表现手法。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时代背景、相关历史和作者生平经历，分析这些作品文本内容，并对所分析的作品的主题思想、典型人物和艺术特色及其影响给予比较入情入理的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2、近现代革命文学作品导读（2课时）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中国近现代革命文学作品的简况、林则徐、孙中山、毛泽东、朱德等著名革命人物的诗文作品；能熟读或背诵这些代表作品的经典片段。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这些诗文作品的思想内容、丰富的艺术表现手法。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时代背景、相关历史和作者生平经历，分析这些作品文本内容，并对所分析的作品的主题思想和艺术特色及其影响给予比较入情入理的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第三单元：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莫言和王安忆作品导读（2课时）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中国当代小说的发展简况，莫言、王安忆、余华、陈忠实等当代作家及其代表作品（《红高粱》、《长恨歌》、《活着》和《白鹿原》等；能熟读或背诵这些代表作品的经典片段。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这些作品的思想内容、人物及其丰富的艺术表现手法。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时代背景、相关历史和作者生平经历，分析这些作品文本内容，并对所分析的作品的主题思想、典型人物和艺术特色及其影响给予比较入情入理的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cs="黑体"/>
          <w:color w:val="000000"/>
          <w:kern w:val="0"/>
          <w:sz w:val="24"/>
          <w:szCs w:val="24"/>
          <w:lang w:val="en-US" w:eastAsia="zh-CN"/>
        </w:rPr>
        <w:t>第四单元：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1、古希腊罗马文学作品导读（2课时）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了解古希腊罗马的发展简史、著名戏剧作家及其生平和代表作品等；能熟读和背诵这些代表作品的经典片段。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2、《圣经》智慧书选读（2课时）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了解基督教和《圣经》的简史；能熟读和背诵这些代表作品的经典片段。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第五单元：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1、中世纪文学导读（神曲、十日谈和唐吉坷德）（2课时）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了解中世纪文学的发展简史、著名作家（但丁、薄伽丘等）；能熟读和背诵这些代表作品的经典片段。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2、莎士比亚作品导读（2课时）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了解莎士比亚的生平和代表作品（《哈姆雷特》、《罗密欧与朱丽叶》等；能熟读和背诵这些代表作品的经典片段。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2、现代文学（勃朗特三姐妹、狄更斯、司汤达、巴尔扎克）导读（2课时）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了解英国、法国、德国的著名作家及其生平和代表作品；能熟读和背诵这些代表作品的经典片段。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3、现代文学（普希金、托尔斯泰、契诃夫、屠格涅夫和陀思妥耶夫斯基）导读（2课时）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了解俄国的著名作家及其生平和代表作品；能熟读和背诵这些代表作品的经典片段。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第六单元：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1、当代文学（海明威、马尔克斯、卡夫卡、福克纳、博尔赫斯、泰戈尔、川端康成）导读（2课时）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了解当代世界著名作家及其生平和代表作品；能熟读和背诵这些代表作品的经典片段。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bCs/>
          <w:sz w:val="20"/>
          <w:szCs w:val="20"/>
        </w:rPr>
      </w:pPr>
      <w:r>
        <w:rPr>
          <w:rFonts w:hint="eastAsia" w:ascii="黑体" w:hAnsi="黑体" w:eastAsia="黑体" w:cs="黑体"/>
          <w:color w:val="000000"/>
          <w:kern w:val="0"/>
          <w:sz w:val="24"/>
          <w:szCs w:val="24"/>
          <w:lang w:val="en-US" w:eastAsia="zh-CN"/>
        </w:rPr>
        <w:t>2、中外文学经典作品展演（2课时）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知道、理解、综合、运用和评价的融合：</w:t>
      </w:r>
      <w:r>
        <w:rPr>
          <w:rFonts w:hint="eastAsia" w:asciiTheme="minorEastAsia" w:hAnsiTheme="minorEastAsia" w:eastAsiaTheme="minorEastAsia" w:cstheme="minorEastAsia"/>
          <w:color w:val="000000"/>
          <w:kern w:val="0"/>
          <w:sz w:val="21"/>
          <w:szCs w:val="21"/>
          <w:lang w:val="en-US" w:eastAsia="zh-CN"/>
        </w:rPr>
        <w:t>在熟悉和较深入理解某一文学作品或作品片段的基础上，以小组或个人的形式，将故事情节和人物从文字形象活动转化为话剧、小品、诗词朗诵等视听觉表演艺术，以增强学生对经典文学作品的艺术审美价值和社会思想价值的认识和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p>
      <w:pPr>
        <w:snapToGrid w:val="0"/>
        <w:spacing w:line="288" w:lineRule="auto"/>
        <w:ind w:right="2520"/>
        <w:rPr>
          <w:rFonts w:hint="eastAsia" w:ascii="黑体" w:hAnsi="宋体" w:eastAsia="黑体"/>
          <w:sz w:val="24"/>
          <w:lang w:val="en-US" w:eastAsia="zh-CN"/>
        </w:rPr>
      </w:pPr>
    </w:p>
    <w:tbl>
      <w:tblPr>
        <w:tblStyle w:val="5"/>
        <w:tblpPr w:leftFromText="180" w:rightFromText="180" w:vertAnchor="text" w:horzAnchor="page" w:tblpX="1882" w:tblpY="-5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rPr>
                <w:rFonts w:ascii="宋体"/>
                <w:bCs/>
                <w:color w:val="000000"/>
                <w:szCs w:val="20"/>
              </w:rPr>
            </w:pPr>
            <w:r>
              <w:rPr>
                <w:rFonts w:hint="eastAsia" w:ascii="宋体" w:hAnsi="宋体"/>
                <w:bCs/>
                <w:color w:val="000000"/>
                <w:szCs w:val="20"/>
              </w:rPr>
              <w:t>总评构成（</w:t>
            </w:r>
            <w:r>
              <w:rPr>
                <w:rFonts w:ascii="宋体" w:hAnsi="宋体"/>
                <w:bCs/>
                <w:color w:val="000000"/>
                <w:szCs w:val="20"/>
              </w:rPr>
              <w:t>1+X</w:t>
            </w:r>
            <w:r>
              <w:rPr>
                <w:rFonts w:hint="eastAsia" w:ascii="宋体" w:hAnsi="宋体"/>
                <w:bCs/>
                <w:color w:val="000000"/>
                <w:szCs w:val="20"/>
              </w:rPr>
              <w:t>）</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hint="eastAsia" w:ascii="宋体" w:hAnsi="宋体"/>
                <w:bCs/>
                <w:color w:val="000000"/>
                <w:szCs w:val="20"/>
              </w:rPr>
              <w:t>评价方式</w:t>
            </w:r>
          </w:p>
        </w:tc>
        <w:tc>
          <w:tcPr>
            <w:tcW w:w="212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ascii="宋体" w:hAnsi="宋体"/>
                <w:bCs/>
                <w:color w:val="000000"/>
                <w:szCs w:val="20"/>
              </w:rPr>
              <w:t>1</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hint="eastAsia" w:ascii="黑体" w:hAnsi="黑体" w:eastAsia="黑体" w:cs="黑体"/>
                <w:bCs/>
                <w:color w:val="000000"/>
                <w:szCs w:val="20"/>
              </w:rPr>
              <w:t>期末</w:t>
            </w:r>
            <w:r>
              <w:rPr>
                <w:rFonts w:hint="eastAsia" w:ascii="黑体" w:hAnsi="黑体" w:eastAsia="黑体" w:cs="黑体"/>
                <w:bCs/>
                <w:color w:val="000000"/>
                <w:szCs w:val="20"/>
                <w:lang w:eastAsia="zh-CN"/>
              </w:rPr>
              <w:t>开卷考试</w:t>
            </w:r>
          </w:p>
        </w:tc>
        <w:tc>
          <w:tcPr>
            <w:tcW w:w="212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hint="eastAsia" w:ascii="宋体"/>
                <w:bCs/>
                <w:color w:val="000000"/>
                <w:szCs w:val="20"/>
              </w:rPr>
            </w:pPr>
            <w:r>
              <w:rPr>
                <w:rFonts w:hint="eastAsia"/>
                <w:bCs/>
                <w:color w:val="00000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hint="eastAsia" w:ascii="宋体" w:eastAsia="宋体"/>
                <w:bCs/>
                <w:color w:val="000000"/>
                <w:szCs w:val="20"/>
                <w:lang w:eastAsia="zh-CN"/>
              </w:rPr>
            </w:pPr>
            <w:r>
              <w:rPr>
                <w:rFonts w:hint="eastAsia" w:ascii="黑体" w:hAnsi="黑体" w:eastAsia="黑体" w:cs="黑体"/>
                <w:bCs/>
                <w:color w:val="000000"/>
                <w:szCs w:val="20"/>
                <w:lang w:eastAsia="zh-CN"/>
              </w:rPr>
              <w:t>文学作品阅读与鉴赏小测验</w:t>
            </w:r>
          </w:p>
        </w:tc>
        <w:tc>
          <w:tcPr>
            <w:tcW w:w="212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hint="eastAsia"/>
                <w:bCs/>
                <w:color w:val="000000"/>
                <w:sz w:val="20"/>
                <w:lang w:val="en-US" w:eastAsia="zh-CN"/>
              </w:rPr>
              <w:t>20</w:t>
            </w:r>
            <w:r>
              <w:rPr>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both"/>
              <w:rPr>
                <w:rFonts w:hint="eastAsia" w:ascii="黑体" w:hAnsi="黑体" w:eastAsia="黑体" w:cs="黑体"/>
                <w:bCs/>
                <w:color w:val="000000"/>
                <w:szCs w:val="20"/>
                <w:lang w:val="en-US" w:eastAsia="zh-CN"/>
              </w:rPr>
            </w:pPr>
            <w:r>
              <w:rPr>
                <w:rFonts w:hint="eastAsia" w:ascii="宋体"/>
                <w:bCs/>
                <w:color w:val="000000"/>
                <w:szCs w:val="20"/>
                <w:lang w:val="en-US" w:eastAsia="zh-CN"/>
              </w:rPr>
              <w:t xml:space="preserve">                   </w:t>
            </w:r>
            <w:r>
              <w:rPr>
                <w:rFonts w:hint="eastAsia" w:ascii="黑体" w:hAnsi="黑体" w:eastAsia="黑体" w:cs="黑体"/>
                <w:bCs/>
                <w:color w:val="000000"/>
                <w:szCs w:val="20"/>
                <w:lang w:val="en-US" w:eastAsia="zh-CN"/>
              </w:rPr>
              <w:t>读书报告</w:t>
            </w:r>
          </w:p>
          <w:p>
            <w:pPr>
              <w:snapToGrid w:val="0"/>
              <w:spacing w:before="156" w:beforeLines="50" w:after="156" w:afterLines="50"/>
              <w:ind w:firstLine="180" w:firstLineChars="100"/>
              <w:jc w:val="both"/>
              <w:rPr>
                <w:rFonts w:hint="eastAsia" w:ascii="宋体" w:eastAsia="宋体"/>
                <w:bCs/>
                <w:color w:val="000000"/>
                <w:szCs w:val="20"/>
                <w:lang w:val="en-US" w:eastAsia="zh-CN"/>
              </w:rPr>
            </w:pPr>
            <w:r>
              <w:rPr>
                <w:rFonts w:hint="eastAsia" w:ascii="宋体"/>
                <w:bCs/>
                <w:color w:val="000000"/>
                <w:sz w:val="18"/>
                <w:szCs w:val="18"/>
                <w:lang w:val="en-US" w:eastAsia="zh-CN"/>
              </w:rPr>
              <w:t>（微角度文学研究的文献综述报告，1篇，不少于1500字）</w:t>
            </w:r>
          </w:p>
        </w:tc>
        <w:tc>
          <w:tcPr>
            <w:tcW w:w="212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hint="eastAsia"/>
                <w:bCs/>
                <w:color w:val="000000"/>
                <w:sz w:val="20"/>
                <w:lang w:val="en-US" w:eastAsia="zh-CN"/>
              </w:rPr>
              <w:t>20</w:t>
            </w:r>
            <w:r>
              <w:rPr>
                <w:rFonts w:hint="eastAsia"/>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ind w:firstLine="630" w:firstLineChars="300"/>
              <w:jc w:val="both"/>
              <w:rPr>
                <w:rFonts w:ascii="宋体" w:hAnsi="宋体"/>
                <w:bCs/>
                <w:color w:val="000000"/>
                <w:szCs w:val="20"/>
              </w:rPr>
            </w:pPr>
          </w:p>
          <w:p>
            <w:pPr>
              <w:snapToGrid w:val="0"/>
              <w:spacing w:before="156" w:beforeLines="50" w:after="156" w:afterLines="50"/>
              <w:ind w:firstLine="630" w:firstLineChars="300"/>
              <w:jc w:val="both"/>
              <w:rPr>
                <w:rFonts w:ascii="宋体"/>
                <w:bCs/>
                <w:color w:val="000000"/>
                <w:szCs w:val="20"/>
              </w:rPr>
            </w:pPr>
            <w:r>
              <w:rPr>
                <w:rFonts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hint="eastAsia" w:ascii="黑体" w:hAnsi="黑体" w:eastAsia="黑体" w:cs="黑体"/>
                <w:bCs/>
                <w:color w:val="000000"/>
                <w:szCs w:val="20"/>
                <w:lang w:val="en-US" w:eastAsia="zh-CN"/>
              </w:rPr>
            </w:pPr>
            <w:r>
              <w:rPr>
                <w:rFonts w:hint="eastAsia" w:ascii="黑体" w:hAnsi="黑体" w:eastAsia="黑体" w:cs="黑体"/>
                <w:bCs/>
                <w:color w:val="000000"/>
                <w:szCs w:val="20"/>
                <w:lang w:val="en-US" w:eastAsia="zh-CN"/>
              </w:rPr>
              <w:t>小组报告</w:t>
            </w:r>
          </w:p>
          <w:p>
            <w:pPr>
              <w:snapToGrid w:val="0"/>
              <w:spacing w:before="156" w:beforeLines="50" w:after="156" w:afterLines="50"/>
              <w:jc w:val="both"/>
              <w:rPr>
                <w:rFonts w:hint="eastAsia" w:ascii="宋体"/>
                <w:bCs/>
                <w:color w:val="000000"/>
                <w:szCs w:val="20"/>
                <w:lang w:eastAsia="zh-CN"/>
              </w:rPr>
            </w:pPr>
            <w:r>
              <w:rPr>
                <w:rFonts w:hint="eastAsia" w:ascii="宋体"/>
                <w:bCs/>
                <w:color w:val="000000"/>
                <w:sz w:val="18"/>
                <w:szCs w:val="18"/>
                <w:lang w:val="en-US" w:eastAsia="zh-CN"/>
              </w:rPr>
              <w:t>（作品诵读+口头鉴赏+报告文稿，外国文学或中国文学作品各选其一）</w:t>
            </w:r>
          </w:p>
        </w:tc>
        <w:tc>
          <w:tcPr>
            <w:tcW w:w="212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hint="eastAsia"/>
                <w:bCs/>
                <w:color w:val="000000"/>
                <w:sz w:val="20"/>
                <w:lang w:val="en-US" w:eastAsia="zh-CN"/>
              </w:rPr>
            </w:pPr>
          </w:p>
          <w:p>
            <w:pPr>
              <w:snapToGrid w:val="0"/>
              <w:spacing w:before="156" w:beforeLines="50" w:after="156" w:afterLines="50"/>
              <w:jc w:val="center"/>
              <w:rPr>
                <w:rFonts w:ascii="宋体"/>
                <w:bCs/>
                <w:color w:val="000000"/>
                <w:szCs w:val="20"/>
              </w:rPr>
            </w:pPr>
            <w:r>
              <w:rPr>
                <w:rFonts w:hint="eastAsia"/>
                <w:bCs/>
                <w:color w:val="000000"/>
                <w:sz w:val="20"/>
                <w:lang w:val="en-US" w:eastAsia="zh-CN"/>
              </w:rPr>
              <w:t>20</w:t>
            </w:r>
            <w:r>
              <w:rPr>
                <w:rFonts w:hint="eastAsia"/>
                <w:bCs/>
                <w:color w:val="000000"/>
                <w:sz w:val="20"/>
              </w:rPr>
              <w:t>%</w:t>
            </w:r>
          </w:p>
        </w:tc>
      </w:tr>
    </w:tbl>
    <w:p>
      <w:pPr>
        <w:snapToGrid w:val="0"/>
        <w:spacing w:line="288" w:lineRule="auto"/>
        <w:ind w:right="2520"/>
        <w:rPr>
          <w:rFonts w:hint="eastAsia" w:ascii="黑体" w:hAnsi="宋体" w:eastAsia="黑体"/>
          <w:sz w:val="24"/>
          <w:lang w:val="en-US" w:eastAsia="zh-CN"/>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hint="eastAsia" w:ascii="宋体" w:hAnsi="宋体"/>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pPr>
      <w:r>
        <w:rPr>
          <w:rFonts w:hint="eastAsia"/>
          <w:sz w:val="28"/>
          <w:szCs w:val="28"/>
        </w:rPr>
        <w:t>撰写人：</w:t>
      </w:r>
      <w:r>
        <w:rPr>
          <w:rFonts w:hint="eastAsia"/>
          <w:sz w:val="28"/>
          <w:szCs w:val="28"/>
          <w:lang w:val="en-US" w:eastAsia="zh-CN"/>
        </w:rPr>
        <w:t xml:space="preserve">  </w:t>
      </w:r>
      <w:r>
        <w:rPr>
          <w:rFonts w:hint="eastAsia" w:ascii="华文行楷" w:hAnsi="华文行楷" w:eastAsia="华文行楷" w:cs="华文行楷"/>
          <w:sz w:val="30"/>
          <w:szCs w:val="30"/>
          <w:lang w:eastAsia="zh-CN"/>
        </w:rPr>
        <w:t>宋军朋</w:t>
      </w:r>
      <w:r>
        <w:rPr>
          <w:rFonts w:hint="eastAsia"/>
          <w:sz w:val="28"/>
          <w:szCs w:val="28"/>
          <w:lang w:val="en-US" w:eastAsia="zh-CN"/>
        </w:rPr>
        <w:t xml:space="preserve">   </w:t>
      </w:r>
      <w:bookmarkStart w:id="1" w:name="_GoBack"/>
      <w:bookmarkEnd w:id="1"/>
      <w:r>
        <w:rPr>
          <w:rFonts w:hint="eastAsia"/>
          <w:sz w:val="28"/>
          <w:szCs w:val="28"/>
        </w:rPr>
        <w:t>系主任审核签名：</w:t>
      </w:r>
      <w:r>
        <w:rPr>
          <w:rFonts w:hint="eastAsia"/>
          <w:sz w:val="28"/>
          <w:szCs w:val="28"/>
          <w:lang w:eastAsia="zh-CN"/>
        </w:rPr>
        <w:t>张建民</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 xml:space="preserve">2019.2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E22D"/>
    <w:multiLevelType w:val="singleLevel"/>
    <w:tmpl w:val="59FEE22D"/>
    <w:lvl w:ilvl="0" w:tentative="0">
      <w:start w:val="1"/>
      <w:numFmt w:val="decimal"/>
      <w:suff w:val="nothing"/>
      <w:lvlText w:val="%1、"/>
      <w:lvlJc w:val="left"/>
    </w:lvl>
  </w:abstractNum>
  <w:abstractNum w:abstractNumId="1">
    <w:nsid w:val="59FF7B31"/>
    <w:multiLevelType w:val="singleLevel"/>
    <w:tmpl w:val="59FF7B31"/>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D43D11"/>
    <w:rsid w:val="00E11741"/>
    <w:rsid w:val="00E16D30"/>
    <w:rsid w:val="00E33169"/>
    <w:rsid w:val="00E70904"/>
    <w:rsid w:val="00EF44B1"/>
    <w:rsid w:val="00F35AA0"/>
    <w:rsid w:val="019B6B77"/>
    <w:rsid w:val="024B0C39"/>
    <w:rsid w:val="044C6AB0"/>
    <w:rsid w:val="04BB0CEC"/>
    <w:rsid w:val="05134D9F"/>
    <w:rsid w:val="062D570B"/>
    <w:rsid w:val="06671B1B"/>
    <w:rsid w:val="07421A4F"/>
    <w:rsid w:val="076258D7"/>
    <w:rsid w:val="07670201"/>
    <w:rsid w:val="0845040F"/>
    <w:rsid w:val="0855619C"/>
    <w:rsid w:val="093C2BDC"/>
    <w:rsid w:val="09A727FB"/>
    <w:rsid w:val="0A8128A6"/>
    <w:rsid w:val="0AB53BDF"/>
    <w:rsid w:val="0AF65C32"/>
    <w:rsid w:val="0B256644"/>
    <w:rsid w:val="0BBB6C14"/>
    <w:rsid w:val="0BF32A1B"/>
    <w:rsid w:val="0C4533DE"/>
    <w:rsid w:val="0C633665"/>
    <w:rsid w:val="0CE66586"/>
    <w:rsid w:val="0E237C54"/>
    <w:rsid w:val="0E537932"/>
    <w:rsid w:val="10BD2C22"/>
    <w:rsid w:val="11647ADD"/>
    <w:rsid w:val="12A01363"/>
    <w:rsid w:val="131031BE"/>
    <w:rsid w:val="1365249B"/>
    <w:rsid w:val="13D628E5"/>
    <w:rsid w:val="15676B93"/>
    <w:rsid w:val="1675501E"/>
    <w:rsid w:val="173014E5"/>
    <w:rsid w:val="182B3B51"/>
    <w:rsid w:val="1A6F701F"/>
    <w:rsid w:val="1A74699D"/>
    <w:rsid w:val="1B391C49"/>
    <w:rsid w:val="1C031F7C"/>
    <w:rsid w:val="1C605E45"/>
    <w:rsid w:val="1DE807E2"/>
    <w:rsid w:val="2182088C"/>
    <w:rsid w:val="22987C80"/>
    <w:rsid w:val="24074643"/>
    <w:rsid w:val="24192CCC"/>
    <w:rsid w:val="243200AC"/>
    <w:rsid w:val="254516F5"/>
    <w:rsid w:val="2638364E"/>
    <w:rsid w:val="27CF67A6"/>
    <w:rsid w:val="286D2589"/>
    <w:rsid w:val="28947D3E"/>
    <w:rsid w:val="2BAE53F5"/>
    <w:rsid w:val="2D0056B9"/>
    <w:rsid w:val="2D391B95"/>
    <w:rsid w:val="2E722DE8"/>
    <w:rsid w:val="2FEE7171"/>
    <w:rsid w:val="304C10A4"/>
    <w:rsid w:val="3169678E"/>
    <w:rsid w:val="31B54511"/>
    <w:rsid w:val="32286659"/>
    <w:rsid w:val="32653869"/>
    <w:rsid w:val="32CD1E72"/>
    <w:rsid w:val="331865E6"/>
    <w:rsid w:val="33284944"/>
    <w:rsid w:val="36747E21"/>
    <w:rsid w:val="36BB3A8C"/>
    <w:rsid w:val="37FE7487"/>
    <w:rsid w:val="37FF0466"/>
    <w:rsid w:val="38A74AD7"/>
    <w:rsid w:val="39A66CD4"/>
    <w:rsid w:val="39B0417B"/>
    <w:rsid w:val="3AAB2099"/>
    <w:rsid w:val="3C443045"/>
    <w:rsid w:val="3CD52CE1"/>
    <w:rsid w:val="3DD63043"/>
    <w:rsid w:val="403B233C"/>
    <w:rsid w:val="40B40977"/>
    <w:rsid w:val="410F2E6A"/>
    <w:rsid w:val="41E3424A"/>
    <w:rsid w:val="42E14CD2"/>
    <w:rsid w:val="43620F4F"/>
    <w:rsid w:val="43E5293B"/>
    <w:rsid w:val="4430136C"/>
    <w:rsid w:val="443863BB"/>
    <w:rsid w:val="443D3BA7"/>
    <w:rsid w:val="466D3C32"/>
    <w:rsid w:val="46A003D0"/>
    <w:rsid w:val="488D1431"/>
    <w:rsid w:val="49E53CCD"/>
    <w:rsid w:val="4AB0382B"/>
    <w:rsid w:val="4AEA71A1"/>
    <w:rsid w:val="4B2D2F4F"/>
    <w:rsid w:val="4B5576EC"/>
    <w:rsid w:val="4BD12AD5"/>
    <w:rsid w:val="4C200129"/>
    <w:rsid w:val="4E0360AF"/>
    <w:rsid w:val="4E065DA6"/>
    <w:rsid w:val="4E0E1992"/>
    <w:rsid w:val="4EAA7338"/>
    <w:rsid w:val="4EED0FF5"/>
    <w:rsid w:val="514827FB"/>
    <w:rsid w:val="519C53C4"/>
    <w:rsid w:val="52202A9B"/>
    <w:rsid w:val="53B1134A"/>
    <w:rsid w:val="540465F8"/>
    <w:rsid w:val="545F3114"/>
    <w:rsid w:val="5553185A"/>
    <w:rsid w:val="555B60E3"/>
    <w:rsid w:val="5578248E"/>
    <w:rsid w:val="558360FC"/>
    <w:rsid w:val="5587385B"/>
    <w:rsid w:val="55E12704"/>
    <w:rsid w:val="55ED3F1D"/>
    <w:rsid w:val="569868B5"/>
    <w:rsid w:val="57685AC8"/>
    <w:rsid w:val="592A2CC3"/>
    <w:rsid w:val="5C1977BC"/>
    <w:rsid w:val="5C442690"/>
    <w:rsid w:val="5C4C1F0D"/>
    <w:rsid w:val="5D9E1E5B"/>
    <w:rsid w:val="5E2C0BB4"/>
    <w:rsid w:val="5F6D0EB2"/>
    <w:rsid w:val="602502F5"/>
    <w:rsid w:val="611F6817"/>
    <w:rsid w:val="61F62678"/>
    <w:rsid w:val="624E291E"/>
    <w:rsid w:val="63703F24"/>
    <w:rsid w:val="63B43E2A"/>
    <w:rsid w:val="640373E0"/>
    <w:rsid w:val="65231DF8"/>
    <w:rsid w:val="664A2DF9"/>
    <w:rsid w:val="66CA1754"/>
    <w:rsid w:val="672139D1"/>
    <w:rsid w:val="674C6E1A"/>
    <w:rsid w:val="6A541AAC"/>
    <w:rsid w:val="6A742598"/>
    <w:rsid w:val="6AA22742"/>
    <w:rsid w:val="6AA32A61"/>
    <w:rsid w:val="6B4F309F"/>
    <w:rsid w:val="6C5627C9"/>
    <w:rsid w:val="6DB91D2B"/>
    <w:rsid w:val="6DCD66A5"/>
    <w:rsid w:val="6DEB6031"/>
    <w:rsid w:val="6F1E65D4"/>
    <w:rsid w:val="6F266C86"/>
    <w:rsid w:val="6F5042C2"/>
    <w:rsid w:val="700E011B"/>
    <w:rsid w:val="71FC293E"/>
    <w:rsid w:val="73160F34"/>
    <w:rsid w:val="74316312"/>
    <w:rsid w:val="76160FD9"/>
    <w:rsid w:val="76B72C7A"/>
    <w:rsid w:val="76DA461A"/>
    <w:rsid w:val="780F13C8"/>
    <w:rsid w:val="78580F17"/>
    <w:rsid w:val="794C5B26"/>
    <w:rsid w:val="79860C92"/>
    <w:rsid w:val="7A7F451C"/>
    <w:rsid w:val="7A8F64C6"/>
    <w:rsid w:val="7AB44736"/>
    <w:rsid w:val="7C385448"/>
    <w:rsid w:val="7CAE1A07"/>
    <w:rsid w:val="7D82680E"/>
    <w:rsid w:val="7F396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1</TotalTime>
  <ScaleCrop>false</ScaleCrop>
  <LinksUpToDate>false</LinksUpToDate>
  <CharactersWithSpaces>1834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海阔天空</cp:lastModifiedBy>
  <dcterms:modified xsi:type="dcterms:W3CDTF">2019-02-27T05:47:42Z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