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2940" w:firstLineChars="1400"/>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【中外文学导读】</w:t>
      </w:r>
    </w:p>
    <w:p>
      <w:pPr>
        <w:spacing w:line="288" w:lineRule="auto"/>
        <w:jc w:val="center"/>
        <w:rPr>
          <w:rFonts w:ascii="Arial" w:hAnsi="Arial" w:cs="Arial"/>
          <w:color w:val="888888"/>
          <w:kern w:val="0"/>
          <w:sz w:val="20"/>
          <w:szCs w:val="20"/>
        </w:rPr>
      </w:pPr>
      <w:r>
        <w:rPr>
          <w:rFonts w:hint="eastAsia"/>
          <w:b/>
          <w:sz w:val="28"/>
          <w:szCs w:val="30"/>
        </w:rPr>
        <w:t xml:space="preserve">【The </w:t>
      </w:r>
      <w:r>
        <w:rPr>
          <w:b/>
          <w:sz w:val="28"/>
          <w:szCs w:val="30"/>
        </w:rPr>
        <w:t>Introduction</w:t>
      </w:r>
      <w:r>
        <w:rPr>
          <w:rFonts w:hint="eastAsia"/>
          <w:b/>
          <w:sz w:val="28"/>
          <w:szCs w:val="30"/>
        </w:rPr>
        <w:t xml:space="preserve"> of Chinese Literature】</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2030416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秘书专业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 w:val="20"/>
          <w:szCs w:val="20"/>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color w:val="000000"/>
          <w:sz w:val="20"/>
          <w:szCs w:val="20"/>
        </w:rPr>
        <w:t>主教材【《中外文学精品导读》，王振军等著，中国广播影视出版社，2016年9月，第1版】</w:t>
      </w:r>
    </w:p>
    <w:p>
      <w:pPr>
        <w:snapToGrid w:val="0"/>
        <w:spacing w:line="288" w:lineRule="auto"/>
        <w:ind w:firstLine="392" w:firstLineChars="196"/>
        <w:rPr>
          <w:color w:val="000000"/>
          <w:sz w:val="20"/>
          <w:szCs w:val="20"/>
        </w:rPr>
      </w:pPr>
      <w:r>
        <w:rPr>
          <w:rFonts w:hint="eastAsia"/>
          <w:color w:val="000000"/>
          <w:sz w:val="20"/>
          <w:szCs w:val="20"/>
        </w:rPr>
        <w:t>参考教材：【林庚著《中国文学简史》，清华大学出版社，2007年版；章培恒、骆玉明主编《中国文学史新著（增订本）》，复旦大学出版社，2015年版；骆玉明著《简明中国文学史》复旦大学出版社，2004年版；钱理群、温儒敏、吴福辉著《中国现代文学三十年》，北京大学出版社，1998年版；陈思和主编《中国当代文学史教程》，复旦大学出版社，2008年版】。</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r>
        <w:rPr>
          <w:bCs/>
          <w:sz w:val="20"/>
          <w:szCs w:val="20"/>
        </w:rPr>
        <w:fldChar w:fldCharType="begin"/>
      </w:r>
      <w:r>
        <w:rPr>
          <w:bCs/>
          <w:sz w:val="20"/>
          <w:szCs w:val="20"/>
        </w:rPr>
        <w:instrText xml:space="preserve"> HYPERLINK "https://www.icourse163.org/course/CCNU-1002084006" </w:instrText>
      </w:r>
      <w:r>
        <w:rPr>
          <w:bCs/>
          <w:sz w:val="20"/>
          <w:szCs w:val="20"/>
        </w:rPr>
        <w:fldChar w:fldCharType="separate"/>
      </w:r>
      <w:r>
        <w:rPr>
          <w:rStyle w:val="5"/>
          <w:bCs/>
          <w:color w:val="auto"/>
          <w:sz w:val="20"/>
          <w:szCs w:val="20"/>
          <w:u w:val="none"/>
        </w:rPr>
        <w:t>https://www.icourse163.org/course/CCNU-1002084006</w:t>
      </w:r>
      <w:r>
        <w:rPr>
          <w:bCs/>
          <w:sz w:val="20"/>
          <w:szCs w:val="20"/>
        </w:rPr>
        <w:fldChar w:fldCharType="end"/>
      </w:r>
      <w:r>
        <w:rPr>
          <w:rFonts w:hint="eastAsia"/>
          <w:b/>
          <w:bCs/>
          <w:color w:val="000000"/>
          <w:sz w:val="20"/>
          <w:szCs w:val="20"/>
        </w:rPr>
        <w:t>；</w:t>
      </w:r>
    </w:p>
    <w:p>
      <w:pPr>
        <w:snapToGrid w:val="0"/>
        <w:spacing w:line="288" w:lineRule="auto"/>
        <w:ind w:firstLine="1892" w:firstLineChars="946"/>
        <w:rPr>
          <w:b/>
          <w:bCs/>
          <w:color w:val="000000"/>
          <w:sz w:val="20"/>
          <w:szCs w:val="20"/>
        </w:rPr>
      </w:pPr>
      <w:r>
        <w:rPr>
          <w:color w:val="000000"/>
          <w:sz w:val="20"/>
          <w:szCs w:val="20"/>
        </w:rPr>
        <w:t>https://www.icourse163.org/course/BNU-1001563013</w:t>
      </w:r>
      <w:r>
        <w:rPr>
          <w:rFonts w:hint="eastAsia"/>
          <w:b/>
          <w:bCs/>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先修课程：【</w:t>
      </w:r>
      <w:r>
        <w:rPr>
          <w:rFonts w:hint="eastAsia"/>
          <w:color w:val="000000"/>
          <w:sz w:val="20"/>
          <w:szCs w:val="20"/>
        </w:rPr>
        <w:t>无</w:t>
      </w:r>
      <w:r>
        <w:rPr>
          <w:rFonts w:hint="eastAsia"/>
          <w:b/>
          <w:bCs/>
          <w:color w:val="000000"/>
          <w:sz w:val="20"/>
          <w:szCs w:val="20"/>
        </w:rPr>
        <w:t>】</w:t>
      </w:r>
    </w:p>
    <w:p>
      <w:pPr>
        <w:snapToGrid w:val="0"/>
        <w:spacing w:line="288" w:lineRule="auto"/>
        <w:ind w:firstLine="394" w:firstLineChars="196"/>
        <w:rPr>
          <w:b/>
          <w:bCs/>
          <w:color w:val="000000"/>
          <w:sz w:val="20"/>
          <w:szCs w:val="20"/>
        </w:rPr>
      </w:pPr>
    </w:p>
    <w:p>
      <w:pPr>
        <w:adjustRightInd w:val="0"/>
        <w:snapToGrid w:val="0"/>
        <w:spacing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line="360" w:lineRule="auto"/>
        <w:ind w:firstLine="400" w:firstLineChars="200"/>
        <w:jc w:val="left"/>
        <w:rPr>
          <w:color w:val="000000"/>
          <w:sz w:val="20"/>
          <w:szCs w:val="20"/>
        </w:rPr>
      </w:pPr>
      <w:r>
        <w:rPr>
          <w:rFonts w:hint="eastAsia"/>
          <w:bCs/>
          <w:color w:val="000000"/>
          <w:sz w:val="20"/>
          <w:szCs w:val="20"/>
        </w:rPr>
        <w:t>文学即人学，古今中外的优秀文学作品真实生动的反映了人类不同发展阶段的思想与文化。因此，学习中外文学中的经典作品，</w:t>
      </w:r>
      <w:r>
        <w:rPr>
          <w:rFonts w:hint="eastAsia"/>
          <w:color w:val="000000"/>
          <w:sz w:val="20"/>
          <w:szCs w:val="20"/>
        </w:rPr>
        <w:t>能够有力提高当代大</w:t>
      </w:r>
      <w:r>
        <w:rPr>
          <w:rFonts w:hint="eastAsia"/>
          <w:bCs/>
          <w:color w:val="000000"/>
          <w:sz w:val="20"/>
          <w:szCs w:val="20"/>
        </w:rPr>
        <w:t>学生的人文素养，</w:t>
      </w:r>
      <w:r>
        <w:rPr>
          <w:rFonts w:hint="eastAsia"/>
          <w:color w:val="000000"/>
          <w:sz w:val="20"/>
          <w:szCs w:val="20"/>
        </w:rPr>
        <w:t>培养学生的人文精神，并从基础的角度有效提高</w:t>
      </w:r>
      <w:r>
        <w:rPr>
          <w:rFonts w:hint="eastAsia"/>
          <w:bCs/>
          <w:color w:val="000000"/>
          <w:sz w:val="20"/>
          <w:szCs w:val="20"/>
        </w:rPr>
        <w:t>新闻传播类、文化类应用型人才的核心能力，促使其具有</w:t>
      </w:r>
      <w:r>
        <w:rPr>
          <w:rFonts w:hint="eastAsia"/>
          <w:color w:val="000000"/>
          <w:sz w:val="20"/>
          <w:szCs w:val="20"/>
        </w:rPr>
        <w:t>较好的思想认识和文化涵养、较高的情商、良好的讲故事能力、视觉化叙事能力、制作有深度的媒体内容的能力，以及办文、办会、办事能力。</w:t>
      </w:r>
    </w:p>
    <w:p>
      <w:pPr>
        <w:widowControl/>
        <w:spacing w:line="360" w:lineRule="auto"/>
        <w:ind w:firstLine="400" w:firstLineChars="200"/>
        <w:jc w:val="left"/>
        <w:rPr>
          <w:color w:val="000000"/>
          <w:sz w:val="20"/>
          <w:szCs w:val="20"/>
        </w:rPr>
      </w:pPr>
      <w:r>
        <w:rPr>
          <w:rFonts w:hint="eastAsia"/>
          <w:color w:val="000000"/>
          <w:sz w:val="20"/>
          <w:szCs w:val="20"/>
        </w:rPr>
        <w:t>本课程主要选取中外古代文学史、现当代文学史上优秀的诗歌、散文、小说、戏剧等，大致以作品产生时代为序进行导读。以作品文本的细读为中心，在生动解读文本的基础上，诠释背景、串联古今，拓展学生的社会历史文化视野，将文学作品跟相关图像、影视及其他艺术形态作出比较、联系，并引导学生诵读作品、以小组为单位参与讨论、讲述专题、撰写相关的读书笔记等。</w:t>
      </w:r>
    </w:p>
    <w:p>
      <w:pPr>
        <w:widowControl/>
        <w:spacing w:line="360" w:lineRule="auto"/>
        <w:ind w:firstLine="400" w:firstLineChars="200"/>
        <w:jc w:val="left"/>
        <w:rPr>
          <w:color w:val="000000"/>
          <w:sz w:val="20"/>
          <w:szCs w:val="20"/>
        </w:rPr>
      </w:pPr>
      <w:r>
        <w:rPr>
          <w:rFonts w:hint="eastAsia"/>
          <w:color w:val="000000"/>
          <w:sz w:val="20"/>
          <w:szCs w:val="20"/>
        </w:rPr>
        <w:t>本课程建议课程学时数32，其中理论课时数32。</w:t>
      </w:r>
    </w:p>
    <w:p>
      <w:pPr>
        <w:widowControl/>
        <w:spacing w:line="360" w:lineRule="auto"/>
        <w:ind w:firstLine="400" w:firstLineChars="200"/>
        <w:jc w:val="left"/>
        <w:rPr>
          <w:color w:val="000000"/>
          <w:sz w:val="20"/>
          <w:szCs w:val="20"/>
        </w:rPr>
      </w:pPr>
    </w:p>
    <w:p>
      <w:pPr>
        <w:widowControl/>
        <w:spacing w:before="156" w:beforeLines="50" w:after="156"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400" w:firstLineChars="200"/>
        <w:jc w:val="left"/>
        <w:rPr>
          <w:color w:val="000000"/>
          <w:sz w:val="20"/>
          <w:szCs w:val="20"/>
        </w:rPr>
      </w:pPr>
      <w:r>
        <w:rPr>
          <w:rFonts w:hint="eastAsia"/>
          <w:color w:val="000000"/>
          <w:sz w:val="20"/>
          <w:szCs w:val="20"/>
        </w:rPr>
        <w:t>建议在大学一年级第一学期或第二学期开课，新闻传播学院所有专业本科生必修</w:t>
      </w:r>
      <w:r>
        <w:rPr>
          <w:color w:val="000000"/>
          <w:sz w:val="20"/>
          <w:szCs w:val="20"/>
        </w:rPr>
        <w:t>。</w:t>
      </w:r>
    </w:p>
    <w:p>
      <w:pPr>
        <w:widowControl/>
        <w:spacing w:before="156" w:beforeLines="50" w:after="156" w:afterLines="50" w:line="288" w:lineRule="auto"/>
        <w:ind w:firstLine="480" w:firstLineChars="200"/>
        <w:jc w:val="left"/>
        <w:rPr>
          <w:rFonts w:ascii="黑体" w:hAnsi="宋体" w:eastAsia="黑体"/>
          <w:sz w:val="24"/>
        </w:rPr>
      </w:pPr>
    </w:p>
    <w:p>
      <w:pPr>
        <w:widowControl/>
        <w:spacing w:before="156" w:beforeLines="50" w:after="156" w:afterLines="50" w:line="288" w:lineRule="auto"/>
        <w:ind w:firstLine="480" w:firstLineChars="200"/>
        <w:jc w:val="left"/>
        <w:rPr>
          <w:rFonts w:ascii="黑体" w:hAnsi="宋体" w:eastAsia="黑体"/>
          <w:sz w:val="24"/>
        </w:rPr>
      </w:pPr>
      <w:r>
        <w:rPr>
          <w:rFonts w:hint="eastAsia" w:ascii="黑体" w:hAnsi="宋体" w:eastAsia="黑体"/>
          <w:sz w:val="24"/>
        </w:rPr>
        <w:t>四、</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p/>
    <w:tbl>
      <w:tblPr>
        <w:tblStyle w:val="6"/>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tcPr>
          <w:p>
            <w:pPr>
              <w:spacing w:line="360" w:lineRule="auto"/>
              <w:jc w:val="center"/>
              <w:rPr>
                <w:rFonts w:ascii="宋体" w:hAnsi="宋体" w:cs="宋体"/>
                <w:color w:val="000000"/>
                <w:kern w:val="0"/>
                <w:sz w:val="20"/>
                <w:szCs w:val="20"/>
              </w:rPr>
            </w:pPr>
            <w:r>
              <w:rPr>
                <w:rFonts w:hint="eastAsia" w:ascii="黑体" w:hAnsi="黑体" w:eastAsia="黑体" w:cs="黑体"/>
                <w:kern w:val="0"/>
                <w:sz w:val="20"/>
                <w:szCs w:val="20"/>
              </w:rPr>
              <w:t xml:space="preserve">          专业毕业要求</w:t>
            </w:r>
          </w:p>
        </w:tc>
        <w:tc>
          <w:tcPr>
            <w:tcW w:w="1075" w:type="dxa"/>
            <w:tcBorders>
              <w:top w:val="single" w:color="auto" w:sz="4" w:space="0"/>
              <w:left w:val="single" w:color="auto" w:sz="4" w:space="0"/>
              <w:bottom w:val="single" w:color="auto" w:sz="4" w:space="0"/>
              <w:right w:val="single" w:color="auto" w:sz="4" w:space="0"/>
            </w:tcBorders>
          </w:tcPr>
          <w:p>
            <w:pPr>
              <w:spacing w:line="360" w:lineRule="auto"/>
              <w:ind w:firstLine="200" w:firstLineChars="100"/>
              <w:rPr>
                <w:rFonts w:ascii="Arial" w:hAnsi="Arial" w:cs="Arial"/>
                <w:color w:val="000000"/>
                <w:sz w:val="40"/>
                <w:szCs w:val="40"/>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L031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LO312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840" w:firstLineChars="400"/>
              <w:jc w:val="left"/>
              <w:rPr>
                <w:rFonts w:ascii="宋体" w:hAnsi="宋体" w:cs="宋体"/>
                <w:color w:val="000000"/>
                <w:kern w:val="0"/>
                <w:sz w:val="20"/>
                <w:szCs w:val="20"/>
              </w:rPr>
            </w:pPr>
            <w:r>
              <w:rPr>
                <w:rFonts w:hint="eastAsia" w:asciiTheme="minorEastAsia" w:hAnsiTheme="minorEastAsia" w:eastAsiaTheme="minorEastAsia" w:cstheme="minorEastAsia"/>
                <w:color w:val="000000"/>
                <w:kern w:val="0"/>
                <w:szCs w:val="21"/>
              </w:rPr>
              <w:t>对信息进行性质识别和价值判断。</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L061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r>
              <w:rPr>
                <w:rFonts w:hint="eastAsia" w:asciiTheme="minorEastAsia" w:hAnsiTheme="minorEastAsia" w:eastAsiaTheme="minorEastAsia" w:cstheme="minorEastAsia"/>
                <w:color w:val="000000"/>
                <w:kern w:val="0"/>
                <w:szCs w:val="21"/>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L071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Theme="minorEastAsia" w:hAnsiTheme="minorEastAsia" w:eastAsiaTheme="minorEastAsia" w:cstheme="minorEastAsia"/>
                <w:color w:val="000000"/>
                <w:kern w:val="0"/>
                <w:szCs w:val="21"/>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30" w:firstLineChars="3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p>
      <w:pPr>
        <w:ind w:firstLine="420" w:firstLineChars="200"/>
      </w:pPr>
      <w:r>
        <w:rPr>
          <w:rFonts w:hint="eastAsia"/>
        </w:rPr>
        <w:t>备注：LO=</w:t>
      </w:r>
      <w:r>
        <w:t>learning outcomes</w:t>
      </w:r>
      <w:r>
        <w:rPr>
          <w:rFonts w:hint="eastAsia"/>
        </w:rPr>
        <w:t>（学习成果）</w:t>
      </w:r>
    </w:p>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tbl>
      <w:tblPr>
        <w:tblStyle w:val="6"/>
        <w:tblpPr w:leftFromText="180" w:rightFromText="180" w:vertAnchor="text" w:horzAnchor="page" w:tblpX="1913" w:tblpY="152"/>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963"/>
        <w:gridCol w:w="2250"/>
        <w:gridCol w:w="297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序号</w:t>
            </w:r>
          </w:p>
        </w:tc>
        <w:tc>
          <w:tcPr>
            <w:tcW w:w="963"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课程预期学习</w:t>
            </w:r>
          </w:p>
          <w:p>
            <w:pPr>
              <w:snapToGrid w:val="0"/>
              <w:spacing w:line="288" w:lineRule="auto"/>
              <w:jc w:val="center"/>
              <w:rPr>
                <w:b/>
                <w:color w:val="000000"/>
                <w:sz w:val="20"/>
                <w:szCs w:val="20"/>
              </w:rPr>
            </w:pPr>
            <w:r>
              <w:rPr>
                <w:rFonts w:hint="eastAsia"/>
                <w:b/>
                <w:color w:val="000000"/>
                <w:sz w:val="20"/>
                <w:szCs w:val="20"/>
              </w:rPr>
              <w:t>成果</w:t>
            </w:r>
          </w:p>
        </w:tc>
        <w:tc>
          <w:tcPr>
            <w:tcW w:w="225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97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6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963"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szCs w:val="24"/>
              </w:rPr>
              <w:t>LO312</w:t>
            </w:r>
          </w:p>
        </w:tc>
        <w:tc>
          <w:tcPr>
            <w:tcW w:w="2250" w:type="dxa"/>
            <w:shd w:val="clear" w:color="auto" w:fill="auto"/>
            <w:vAlign w:val="center"/>
          </w:tcPr>
          <w:p>
            <w:pPr>
              <w:jc w:val="center"/>
              <w:rPr>
                <w:rFonts w:asciiTheme="minorEastAsia" w:hAnsiTheme="minorEastAsia" w:eastAsiaTheme="minorEastAsia" w:cstheme="minorEastAsia"/>
                <w:color w:val="000000"/>
                <w:kern w:val="0"/>
                <w:szCs w:val="21"/>
              </w:rPr>
            </w:pPr>
          </w:p>
          <w:p>
            <w:pPr>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Cs w:val="21"/>
              </w:rPr>
              <w:t>对信息进行性质识别和价值判断。</w:t>
            </w:r>
          </w:p>
        </w:tc>
        <w:tc>
          <w:tcPr>
            <w:tcW w:w="2979" w:type="dxa"/>
            <w:shd w:val="clear" w:color="auto" w:fill="auto"/>
            <w:vAlign w:val="center"/>
          </w:tcPr>
          <w:p>
            <w:pPr>
              <w:snapToGrid w:val="0"/>
              <w:spacing w:line="288" w:lineRule="auto"/>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课堂讲授作品分析</w:t>
            </w:r>
          </w:p>
          <w:p>
            <w:pPr>
              <w:snapToGrid w:val="0"/>
              <w:spacing w:line="288"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学生小组诵读、评论</w:t>
            </w:r>
          </w:p>
          <w:p>
            <w:pPr>
              <w:snapToGrid w:val="0"/>
              <w:spacing w:line="288"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 w:val="18"/>
                <w:szCs w:val="18"/>
              </w:rPr>
              <w:t>通过仔细阅读某一种形式的文学作品（诗歌、散文、小说等），对其所包含的丰富的信息进行较为全面的了解和重点识别，并根据作者的生平、创作背景和文本内容，进行作品诵读和作品分析，最后形成对该作品的艺术审美价值、社会道德价值和其他价值的综合判断。</w:t>
            </w:r>
          </w:p>
        </w:tc>
        <w:tc>
          <w:tcPr>
            <w:tcW w:w="1765" w:type="dxa"/>
            <w:shd w:val="clear" w:color="auto" w:fill="auto"/>
            <w:vAlign w:val="center"/>
          </w:tcPr>
          <w:p>
            <w:pPr>
              <w:snapToGrid w:val="0"/>
              <w:spacing w:line="288" w:lineRule="auto"/>
              <w:jc w:val="center"/>
              <w:rPr>
                <w:rFonts w:asciiTheme="minorEastAsia" w:hAnsiTheme="minorEastAsia" w:eastAsiaTheme="minorEastAsia" w:cstheme="minorEastAsia"/>
                <w:color w:val="000000"/>
                <w:kern w:val="0"/>
                <w:szCs w:val="21"/>
              </w:rPr>
            </w:pPr>
          </w:p>
          <w:p>
            <w:pPr>
              <w:snapToGrid w:val="0"/>
              <w:spacing w:line="288" w:lineRule="auto"/>
              <w:ind w:firstLine="211" w:firstLineChars="100"/>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书面作业</w:t>
            </w:r>
          </w:p>
          <w:p>
            <w:pPr>
              <w:snapToGrid w:val="0"/>
              <w:spacing w:line="288"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 w:val="18"/>
                <w:szCs w:val="18"/>
              </w:rPr>
              <w:t>对一首诗歌或一部</w:t>
            </w:r>
            <w:bookmarkStart w:id="1" w:name="_GoBack"/>
            <w:bookmarkEnd w:id="1"/>
            <w:r>
              <w:rPr>
                <w:rFonts w:hint="eastAsia" w:asciiTheme="minorEastAsia" w:hAnsiTheme="minorEastAsia" w:eastAsiaTheme="minorEastAsia" w:cstheme="minorEastAsia"/>
                <w:color w:val="000000"/>
                <w:kern w:val="0"/>
                <w:sz w:val="18"/>
                <w:szCs w:val="18"/>
              </w:rPr>
              <w:t>小说进行鉴赏。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963"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LO611</w:t>
            </w:r>
          </w:p>
        </w:tc>
        <w:tc>
          <w:tcPr>
            <w:tcW w:w="2250" w:type="dxa"/>
            <w:shd w:val="clear" w:color="auto" w:fill="auto"/>
            <w:vAlign w:val="center"/>
          </w:tcPr>
          <w:p>
            <w:pPr>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Cs w:val="21"/>
              </w:rPr>
              <w:t>能够根据需要进行专业文献检索。</w:t>
            </w:r>
          </w:p>
        </w:tc>
        <w:tc>
          <w:tcPr>
            <w:tcW w:w="2979" w:type="dxa"/>
            <w:shd w:val="clear" w:color="auto" w:fill="auto"/>
            <w:vAlign w:val="center"/>
          </w:tcPr>
          <w:p>
            <w:pPr>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教师指导与学生检索</w:t>
            </w:r>
          </w:p>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 w:val="18"/>
                <w:szCs w:val="18"/>
              </w:rPr>
              <w:t>对一种文学现象或作品、人物、风格等的研究现状（包括成果）进行检索，并从一定角度对这些现状进行初步的梳理和总结。</w:t>
            </w:r>
          </w:p>
        </w:tc>
        <w:tc>
          <w:tcPr>
            <w:tcW w:w="1765" w:type="dxa"/>
            <w:shd w:val="clear" w:color="auto" w:fill="auto"/>
            <w:vAlign w:val="center"/>
          </w:tcPr>
          <w:p>
            <w:pPr>
              <w:snapToGrid w:val="0"/>
              <w:spacing w:line="288" w:lineRule="auto"/>
              <w:ind w:firstLine="211" w:firstLineChars="100"/>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读书报告</w:t>
            </w:r>
          </w:p>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 w:val="18"/>
                <w:szCs w:val="18"/>
              </w:rPr>
              <w:t>完成一份微角度的文学研究的文献综述报告。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963"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250" w:type="dxa"/>
            <w:shd w:val="clear" w:color="auto" w:fill="auto"/>
            <w:vAlign w:val="center"/>
          </w:tcPr>
          <w:p>
            <w:pPr>
              <w:rPr>
                <w:rFonts w:ascii="仿宋" w:hAnsi="仿宋" w:eastAsia="仿宋" w:cs="宋体"/>
                <w:color w:val="000000"/>
                <w:kern w:val="0"/>
                <w:sz w:val="24"/>
              </w:rPr>
            </w:pPr>
            <w:r>
              <w:rPr>
                <w:rFonts w:hint="eastAsia" w:asciiTheme="minorEastAsia" w:hAnsiTheme="minorEastAsia" w:eastAsiaTheme="minorEastAsia" w:cstheme="minorEastAsia"/>
                <w:color w:val="000000"/>
                <w:kern w:val="0"/>
                <w:szCs w:val="21"/>
              </w:rPr>
              <w:t>爱党爱国：了解祖国的优秀传统文化和革命历史，构建爱党爱国的理想信念。</w:t>
            </w:r>
          </w:p>
        </w:tc>
        <w:tc>
          <w:tcPr>
            <w:tcW w:w="2979" w:type="dxa"/>
            <w:shd w:val="clear" w:color="auto" w:fill="auto"/>
            <w:vAlign w:val="center"/>
          </w:tcPr>
          <w:p>
            <w:pPr>
              <w:jc w:val="center"/>
              <w:rPr>
                <w:rFonts w:asciiTheme="minorEastAsia" w:hAnsiTheme="minorEastAsia" w:eastAsiaTheme="minorEastAsia" w:cstheme="minorEastAsia"/>
                <w:color w:val="000000"/>
                <w:kern w:val="0"/>
                <w:szCs w:val="21"/>
              </w:rPr>
            </w:pPr>
          </w:p>
          <w:p>
            <w:pPr>
              <w:snapToGrid w:val="0"/>
              <w:spacing w:line="288" w:lineRule="auto"/>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课堂讲授作品分析</w:t>
            </w:r>
          </w:p>
          <w:p>
            <w:pPr>
              <w:snapToGrid w:val="0"/>
              <w:spacing w:line="288"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学生小组诵读、评论</w:t>
            </w:r>
          </w:p>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 w:val="18"/>
                <w:szCs w:val="18"/>
              </w:rPr>
              <w:t>对一些古代爱国主义文学作品和近现代革命文学作品的阅读（诵读）和作品分析、讨论。</w:t>
            </w:r>
          </w:p>
        </w:tc>
        <w:tc>
          <w:tcPr>
            <w:tcW w:w="1765" w:type="dxa"/>
            <w:shd w:val="clear" w:color="auto" w:fill="auto"/>
            <w:vAlign w:val="center"/>
          </w:tcPr>
          <w:p>
            <w:pPr>
              <w:ind w:firstLine="211" w:firstLineChars="100"/>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bCs/>
                <w:color w:val="000000"/>
                <w:kern w:val="0"/>
                <w:szCs w:val="21"/>
              </w:rPr>
              <w:t>小组讨论</w:t>
            </w:r>
          </w:p>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 w:val="18"/>
                <w:szCs w:val="18"/>
              </w:rPr>
              <w:t>以课堂小组为单位，对一部作品进行集中讨论，形成一定的认识与观点。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7"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963" w:type="dxa"/>
            <w:shd w:val="clear" w:color="auto" w:fill="auto"/>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LO812</w:t>
            </w:r>
          </w:p>
        </w:tc>
        <w:tc>
          <w:tcPr>
            <w:tcW w:w="2250" w:type="dxa"/>
            <w:shd w:val="clear" w:color="auto" w:fill="auto"/>
            <w:vAlign w:val="center"/>
          </w:tcPr>
          <w:p>
            <w:pPr>
              <w:rPr>
                <w:rFonts w:asciiTheme="minorEastAsia" w:hAnsiTheme="minorEastAsia" w:eastAsiaTheme="minorEastAsia" w:cstheme="minorEastAsia"/>
                <w:color w:val="000000"/>
                <w:kern w:val="0"/>
                <w:szCs w:val="21"/>
              </w:rPr>
            </w:pPr>
          </w:p>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理解其他国家历史文化，有跨文化交流能力。</w:t>
            </w:r>
          </w:p>
          <w:p>
            <w:pPr>
              <w:jc w:val="center"/>
              <w:rPr>
                <w:rFonts w:asciiTheme="minorEastAsia" w:hAnsiTheme="minorEastAsia" w:eastAsiaTheme="minorEastAsia" w:cstheme="minorEastAsia"/>
                <w:color w:val="000000"/>
                <w:kern w:val="0"/>
                <w:szCs w:val="21"/>
              </w:rPr>
            </w:pPr>
          </w:p>
        </w:tc>
        <w:tc>
          <w:tcPr>
            <w:tcW w:w="2979" w:type="dxa"/>
            <w:shd w:val="clear" w:color="auto" w:fill="auto"/>
            <w:vAlign w:val="center"/>
          </w:tcPr>
          <w:p>
            <w:pPr>
              <w:snapToGrid w:val="0"/>
              <w:spacing w:line="288" w:lineRule="auto"/>
              <w:rPr>
                <w:rFonts w:asciiTheme="minorEastAsia" w:hAnsiTheme="minorEastAsia" w:eastAsiaTheme="minorEastAsia" w:cstheme="minorEastAsia"/>
                <w:b/>
                <w:bCs/>
                <w:color w:val="000000"/>
                <w:kern w:val="0"/>
                <w:szCs w:val="21"/>
              </w:rPr>
            </w:pPr>
          </w:p>
          <w:p>
            <w:pPr>
              <w:snapToGrid w:val="0"/>
              <w:spacing w:line="288" w:lineRule="auto"/>
              <w:jc w:val="center"/>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课堂讲授作品分析</w:t>
            </w:r>
          </w:p>
          <w:p>
            <w:pPr>
              <w:snapToGrid w:val="0"/>
              <w:spacing w:line="288" w:lineRule="auto"/>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学生小组诵读、评论</w:t>
            </w:r>
          </w:p>
          <w:p>
            <w:pPr>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对一些经典外国文学作品进行双语的阅读（诵读）和作品分析、讨论。</w:t>
            </w:r>
          </w:p>
        </w:tc>
        <w:tc>
          <w:tcPr>
            <w:tcW w:w="1765" w:type="dxa"/>
            <w:shd w:val="clear" w:color="auto" w:fill="auto"/>
            <w:vAlign w:val="center"/>
          </w:tcPr>
          <w:p>
            <w:pPr>
              <w:ind w:firstLine="211" w:firstLineChars="100"/>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bCs/>
                <w:color w:val="000000"/>
                <w:kern w:val="0"/>
                <w:szCs w:val="21"/>
              </w:rPr>
              <w:t>小组讨论</w:t>
            </w:r>
          </w:p>
          <w:p>
            <w:pPr>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以课堂小组为单位，对一部作品进行集中讨论，形成一定的认识与观点。</w:t>
            </w: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ind w:firstLine="360" w:firstLineChars="150"/>
        <w:jc w:val="left"/>
        <w:rPr>
          <w:rFonts w:ascii="宋体" w:hAnsi="宋体"/>
          <w:sz w:val="20"/>
          <w:szCs w:val="20"/>
        </w:rPr>
      </w:pPr>
      <w:r>
        <w:rPr>
          <w:rFonts w:hint="eastAsia" w:ascii="黑体" w:hAnsi="宋体" w:eastAsia="黑体"/>
          <w:sz w:val="24"/>
        </w:rPr>
        <w:t>六、课程内容（必填项）</w:t>
      </w:r>
    </w:p>
    <w:p>
      <w:pPr>
        <w:spacing w:line="360" w:lineRule="auto"/>
        <w:rPr>
          <w:rFonts w:asciiTheme="minorEastAsia" w:hAnsiTheme="minorEastAsia" w:eastAsiaTheme="minorEastAsia" w:cstheme="minorEastAsia"/>
          <w:color w:val="000000"/>
          <w:kern w:val="0"/>
          <w:szCs w:val="21"/>
        </w:rPr>
      </w:pPr>
      <w:r>
        <w:rPr>
          <w:rFonts w:hint="eastAsia" w:ascii="黑体" w:hAnsi="黑体" w:eastAsia="黑体" w:cs="黑体"/>
          <w:color w:val="000000"/>
          <w:kern w:val="0"/>
          <w:sz w:val="24"/>
          <w:szCs w:val="24"/>
        </w:rPr>
        <w:t>绪论（学习的目的和价值、课程简介、考核方式和要求等）（2课时）</w:t>
      </w:r>
      <w:r>
        <w:rPr>
          <w:rFonts w:hint="eastAsia" w:asciiTheme="minorEastAsia" w:hAnsiTheme="minorEastAsia" w:eastAsiaTheme="minorEastAsia" w:cstheme="minorEastAsia"/>
          <w:color w:val="000000"/>
          <w:kern w:val="0"/>
          <w:szCs w:val="21"/>
        </w:rPr>
        <w:t>。</w:t>
      </w:r>
    </w:p>
    <w:p>
      <w:pPr>
        <w:numPr>
          <w:ilvl w:val="0"/>
          <w:numId w:val="2"/>
        </w:numPr>
        <w:spacing w:line="360" w:lineRule="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学习本门课程的目的和价值：中外文学与新闻、广告、传播、秘书专业的姻亲关系。</w:t>
      </w:r>
    </w:p>
    <w:p>
      <w:pPr>
        <w:numPr>
          <w:ilvl w:val="0"/>
          <w:numId w:val="2"/>
        </w:numPr>
        <w:spacing w:line="360" w:lineRule="auto"/>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课程简介、考核方式和要求。</w:t>
      </w:r>
    </w:p>
    <w:p>
      <w:pPr>
        <w:spacing w:line="360" w:lineRule="auto"/>
        <w:rPr>
          <w:rFonts w:hint="eastAsia" w:ascii="黑体" w:hAnsi="黑体" w:eastAsia="黑体" w:cs="黑体"/>
          <w:color w:val="000000"/>
          <w:kern w:val="0"/>
          <w:sz w:val="24"/>
          <w:szCs w:val="24"/>
        </w:rPr>
      </w:pPr>
    </w:p>
    <w:p>
      <w:pPr>
        <w:spacing w:line="360" w:lineRule="auto"/>
        <w:rPr>
          <w:rFonts w:asciiTheme="minorEastAsia" w:hAnsiTheme="minorEastAsia" w:eastAsiaTheme="minorEastAsia" w:cstheme="minorEastAsia"/>
          <w:color w:val="000000"/>
          <w:kern w:val="0"/>
          <w:szCs w:val="21"/>
        </w:rPr>
      </w:pPr>
      <w:r>
        <w:rPr>
          <w:rFonts w:hint="eastAsia" w:ascii="黑体" w:hAnsi="黑体" w:eastAsia="黑体" w:cs="黑体"/>
          <w:color w:val="000000"/>
          <w:kern w:val="0"/>
          <w:sz w:val="24"/>
          <w:szCs w:val="24"/>
        </w:rPr>
        <w:t>第一单元：</w:t>
      </w:r>
    </w:p>
    <w:p>
      <w:pPr>
        <w:spacing w:line="360" w:lineRule="auto"/>
        <w:rPr>
          <w:rFonts w:asciiTheme="minorEastAsia" w:hAnsiTheme="minorEastAsia" w:eastAsiaTheme="minorEastAsia" w:cstheme="minorEastAsia"/>
          <w:color w:val="000000"/>
          <w:kern w:val="0"/>
          <w:szCs w:val="21"/>
        </w:rPr>
      </w:pPr>
      <w:r>
        <w:rPr>
          <w:rFonts w:hint="eastAsia" w:ascii="黑体" w:hAnsi="黑体" w:eastAsia="黑体" w:cs="黑体"/>
          <w:color w:val="000000"/>
          <w:kern w:val="0"/>
          <w:sz w:val="24"/>
          <w:szCs w:val="24"/>
        </w:rPr>
        <w:t xml:space="preserve">1、《诗经》导读（2课时） </w:t>
      </w:r>
    </w:p>
    <w:p>
      <w:pPr>
        <w:spacing w:line="360" w:lineRule="auto"/>
        <w:ind w:firstLine="422" w:firstLineChars="200"/>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《诗经》篇数（305篇）、内容分类（风、雅、颂）和艺术表现手法分类（赋、比、兴），并能背诵2-3首的诗歌。</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《诗经》的艺术表现手法分类（赋、比、兴）的含义。</w:t>
      </w:r>
      <w:r>
        <w:rPr>
          <w:rFonts w:hint="eastAsia" w:ascii="黑体" w:hAnsi="黑体" w:eastAsia="黑体"/>
          <w:b/>
          <w:bCs/>
          <w:color w:val="FF0000"/>
          <w:szCs w:val="21"/>
        </w:rPr>
        <w:t>运用</w:t>
      </w:r>
      <w:r>
        <w:rPr>
          <w:rFonts w:hint="eastAsia" w:asciiTheme="minorEastAsia" w:hAnsiTheme="minorEastAsia" w:eastAsiaTheme="minorEastAsia" w:cstheme="minorEastAsia"/>
          <w:color w:val="000000"/>
          <w:kern w:val="0"/>
          <w:szCs w:val="21"/>
        </w:rPr>
        <w:t>（赋、比、兴）艺术表现手法，</w:t>
      </w:r>
      <w:r>
        <w:rPr>
          <w:rFonts w:hint="eastAsia" w:ascii="黑体" w:hAnsi="黑体" w:eastAsia="黑体"/>
          <w:b/>
          <w:bCs/>
          <w:color w:val="FF0000"/>
          <w:szCs w:val="21"/>
        </w:rPr>
        <w:t>综合</w:t>
      </w:r>
      <w:r>
        <w:rPr>
          <w:rFonts w:hint="eastAsia" w:asciiTheme="minorEastAsia" w:hAnsiTheme="minorEastAsia" w:eastAsiaTheme="minorEastAsia" w:cstheme="minorEastAsia"/>
          <w:color w:val="000000"/>
          <w:kern w:val="0"/>
          <w:szCs w:val="21"/>
        </w:rPr>
        <w:t>时代背景，</w:t>
      </w:r>
      <w:r>
        <w:rPr>
          <w:rFonts w:hint="eastAsia" w:ascii="黑体" w:hAnsi="黑体" w:eastAsia="黑体"/>
          <w:b/>
          <w:bCs/>
          <w:color w:val="FF0000"/>
          <w:szCs w:val="21"/>
        </w:rPr>
        <w:t>分析</w:t>
      </w:r>
      <w:r>
        <w:rPr>
          <w:rFonts w:hint="eastAsia" w:asciiTheme="minorEastAsia" w:hAnsiTheme="minorEastAsia" w:eastAsiaTheme="minorEastAsia" w:cstheme="minorEastAsia"/>
          <w:color w:val="000000"/>
          <w:kern w:val="0"/>
          <w:szCs w:val="21"/>
        </w:rPr>
        <w:t>《诗经》中的诗歌文本内容，并对所分析的诗歌的主题思想和艺术特色及其影响给予比较入情入理的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2、魏晋南北朝文学导读（2课时）</w:t>
      </w:r>
    </w:p>
    <w:p>
      <w:pPr>
        <w:spacing w:line="360" w:lineRule="auto"/>
        <w:ind w:firstLine="422" w:firstLineChars="200"/>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bCs/>
          <w:color w:val="000000" w:themeColor="text1"/>
          <w:szCs w:val="21"/>
        </w:rPr>
        <w:t>曹植、陶渊明的生平及诗歌</w:t>
      </w:r>
      <w:r>
        <w:rPr>
          <w:rFonts w:hint="eastAsia" w:asciiTheme="minorEastAsia" w:hAnsiTheme="minorEastAsia" w:eastAsiaTheme="minorEastAsia" w:cstheme="minorEastAsia"/>
          <w:color w:val="000000"/>
          <w:kern w:val="0"/>
          <w:szCs w:val="21"/>
        </w:rPr>
        <w:t>内容；《世说新语》的内容。</w:t>
      </w:r>
      <w:r>
        <w:rPr>
          <w:rFonts w:hint="eastAsia" w:ascii="黑体" w:hAnsi="黑体" w:eastAsia="黑体"/>
          <w:b/>
          <w:bCs/>
          <w:color w:val="FF0000"/>
          <w:szCs w:val="21"/>
        </w:rPr>
        <w:t>理解：</w:t>
      </w:r>
      <w:r>
        <w:rPr>
          <w:rFonts w:hint="eastAsia" w:asciiTheme="minorEastAsia" w:hAnsiTheme="minorEastAsia" w:eastAsiaTheme="minorEastAsia"/>
          <w:bCs/>
          <w:color w:val="000000" w:themeColor="text1"/>
          <w:szCs w:val="21"/>
        </w:rPr>
        <w:t>曹植、陶渊明诗歌的艺术特点；《世说新语》的语言特点</w:t>
      </w:r>
      <w:r>
        <w:rPr>
          <w:rFonts w:hint="eastAsia" w:asciiTheme="minorEastAsia" w:hAnsiTheme="minorEastAsia" w:eastAsiaTheme="minorEastAsia" w:cstheme="minorEastAsia"/>
          <w:color w:val="000000"/>
          <w:kern w:val="0"/>
          <w:szCs w:val="21"/>
        </w:rPr>
        <w:t>。</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w:t>
      </w:r>
      <w:r>
        <w:rPr>
          <w:rFonts w:hint="eastAsia" w:ascii="黑体" w:hAnsi="黑体" w:eastAsia="黑体"/>
          <w:b/>
          <w:bCs/>
          <w:color w:val="FF0000"/>
          <w:szCs w:val="21"/>
        </w:rPr>
        <w:t>分析</w:t>
      </w:r>
      <w:r>
        <w:rPr>
          <w:rFonts w:hint="eastAsia" w:asciiTheme="minorEastAsia" w:hAnsiTheme="minorEastAsia" w:eastAsiaTheme="minorEastAsia" w:cstheme="minorEastAsia"/>
          <w:color w:val="000000"/>
          <w:kern w:val="0"/>
          <w:szCs w:val="21"/>
        </w:rPr>
        <w:t>曹植、陶渊明诗歌的影响与意义；《世说新语》的影响，并给予其正确的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Theme="minorEastAsia" w:hAnsiTheme="minorEastAsia" w:eastAsiaTheme="minorEastAsia" w:cstheme="minorEastAsia"/>
          <w:color w:val="000000"/>
          <w:kern w:val="0"/>
          <w:szCs w:val="21"/>
        </w:rPr>
      </w:pPr>
      <w:r>
        <w:rPr>
          <w:rFonts w:hint="eastAsia" w:ascii="黑体" w:hAnsi="黑体" w:eastAsia="黑体" w:cs="黑体"/>
          <w:color w:val="000000"/>
          <w:kern w:val="0"/>
          <w:sz w:val="24"/>
          <w:szCs w:val="24"/>
        </w:rPr>
        <w:t>3、唐诗选读（2课时）</w:t>
      </w:r>
    </w:p>
    <w:p>
      <w:pPr>
        <w:spacing w:line="360" w:lineRule="auto"/>
        <w:ind w:firstLine="422" w:firstLineChars="200"/>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唐代诗歌分期（初唐、盛唐和晚唐）、风格流派（浪漫主义风格、现实主义风格、山水田园风格、军旅边塞风格等）、代表诗人（陈子昂、李白、杜甫、李商隐等）及其生平和作品情况；能熟读和背诵这些代表诗人的部分诗歌。</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唐代诗歌的艺术表现手法。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w:t>
      </w:r>
      <w:r>
        <w:rPr>
          <w:rFonts w:hint="eastAsia" w:ascii="黑体" w:hAnsi="黑体" w:eastAsia="黑体"/>
          <w:b/>
          <w:bCs/>
          <w:color w:val="FF0000"/>
          <w:szCs w:val="21"/>
        </w:rPr>
        <w:t>分析</w:t>
      </w:r>
      <w:r>
        <w:rPr>
          <w:rFonts w:hint="eastAsia" w:asciiTheme="minorEastAsia" w:hAnsiTheme="minorEastAsia" w:eastAsiaTheme="minorEastAsia" w:cstheme="minorEastAsia"/>
          <w:color w:val="000000"/>
          <w:kern w:val="0"/>
          <w:szCs w:val="21"/>
        </w:rPr>
        <w:t>唐代诗歌文本内容，并对所分析的诗歌的主题思想和艺术特色及其影响给予比较入情入理的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4、宋词经典选读（4课时）</w:t>
      </w:r>
    </w:p>
    <w:p>
      <w:pPr>
        <w:spacing w:line="360" w:lineRule="auto"/>
        <w:ind w:firstLine="422" w:firstLineChars="200"/>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themeColor="text1"/>
          <w:kern w:val="0"/>
          <w:szCs w:val="21"/>
        </w:rPr>
        <w:t>宋词的风格流派（豪放派</w:t>
      </w:r>
      <w:r>
        <w:rPr>
          <w:rFonts w:hint="eastAsia" w:asciiTheme="minorEastAsia" w:hAnsiTheme="minorEastAsia" w:eastAsiaTheme="minorEastAsia" w:cstheme="minorEastAsia"/>
          <w:color w:val="000000"/>
          <w:kern w:val="0"/>
          <w:szCs w:val="21"/>
        </w:rPr>
        <w:t>和婉约派）、代表诗人（苏轼、辛弃疾和柳永、李清照）及其生平和作品情况；能熟读和背诵这些代表词人的部分作品。</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宋词的艺术表现手法。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w:t>
      </w:r>
      <w:r>
        <w:rPr>
          <w:rFonts w:hint="eastAsia" w:ascii="黑体" w:hAnsi="黑体" w:eastAsia="黑体"/>
          <w:b/>
          <w:bCs/>
          <w:color w:val="FF0000"/>
          <w:szCs w:val="21"/>
        </w:rPr>
        <w:t>分析</w:t>
      </w:r>
      <w:r>
        <w:rPr>
          <w:rFonts w:hint="eastAsia" w:asciiTheme="minorEastAsia" w:hAnsiTheme="minorEastAsia" w:eastAsiaTheme="minorEastAsia" w:cstheme="minorEastAsia"/>
          <w:color w:val="000000"/>
          <w:kern w:val="0"/>
          <w:szCs w:val="21"/>
        </w:rPr>
        <w:t>宋词文本内容，并对所分析的词作品的主题思想和艺术特色及其影响给予比较入情入理的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5、《西厢记》和《牡丹亭》导读（2课时）</w:t>
      </w:r>
    </w:p>
    <w:p>
      <w:pPr>
        <w:widowControl/>
        <w:spacing w:before="156" w:beforeLines="50" w:after="156" w:afterLines="50" w:line="288" w:lineRule="auto"/>
        <w:ind w:firstLine="422" w:firstLineChars="200"/>
        <w:jc w:val="left"/>
        <w:rPr>
          <w:bCs/>
          <w:sz w:val="20"/>
          <w:szCs w:val="20"/>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了解中国古代戏曲的发展简史、著名戏剧作家（关汉卿、汤显祖、王实甫等）及其生平和代表作品（《窦娥冤》、《西厢记》、《牡丹亭》等；能熟读和背诵这些代表作品的经典片段。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时代背景和作者生平经历，分析这些作品文本内容，并对所分析的作品的主题思想和艺术特色及其影响给予比较入情入理的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6、四大名著导读（《三国演义》、《水浒传》、《西游记》和《红楼梦》）（2课时）</w:t>
      </w:r>
    </w:p>
    <w:p>
      <w:pPr>
        <w:widowControl/>
        <w:spacing w:before="156" w:beforeLines="50" w:after="156" w:afterLines="50" w:line="288" w:lineRule="auto"/>
        <w:ind w:firstLine="422" w:firstLineChars="200"/>
        <w:jc w:val="left"/>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中国古代小说的发展简史、四大名著的作者（罗贯中、施耐庵、吴承恩和曹雪芹）及其代表作品（《三国演义》、《水浒传》、《西游记》和《红楼梦》；能熟读或背诵这些代表作品的经典片段。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这些作品的思想内容、人物及其丰富的艺术表现手法。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hint="eastAsia" w:ascii="黑体" w:hAnsi="黑体" w:eastAsia="黑体" w:cs="黑体"/>
          <w:color w:val="000000"/>
          <w:kern w:val="0"/>
          <w:sz w:val="24"/>
          <w:szCs w:val="24"/>
        </w:rPr>
      </w:pP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第二单元：</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老舍、张爱玲、钱钟书、鲁迅等作家作品导读（4课时）</w:t>
      </w:r>
    </w:p>
    <w:p>
      <w:pPr>
        <w:widowControl/>
        <w:spacing w:before="156" w:beforeLines="50" w:after="156" w:afterLines="50" w:line="360" w:lineRule="auto"/>
        <w:ind w:firstLine="422" w:firstLineChars="200"/>
        <w:jc w:val="left"/>
        <w:rPr>
          <w:bCs/>
          <w:sz w:val="20"/>
          <w:szCs w:val="20"/>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中国近现代小说的发展简况、老舍、张爱玲、钱钟书、鲁迅等著名文学家及其代表作品（《骆驼祥子》、《金锁记》、《围城》）等；能熟读这些代表作品的经典片段。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这些作品的思想内容、人物及其丰富的艺术表现手法。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时代背景、相关历史和作者生平经历，分析这些作品文本内容，并对所分析的作品的主题思想、典型人物和艺术特色及其影响给予比较入情入理的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Theme="minorEastAsia" w:hAnsiTheme="minorEastAsia" w:eastAsiaTheme="minorEastAsia" w:cstheme="minorEastAsia"/>
          <w:color w:val="000000"/>
          <w:kern w:val="0"/>
          <w:szCs w:val="21"/>
        </w:rPr>
      </w:pP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第三单元：</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现当代诗歌导读（2课时）</w:t>
      </w:r>
    </w:p>
    <w:p>
      <w:pPr>
        <w:spacing w:line="360" w:lineRule="auto"/>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中国现当代诗歌发展简况，徐志摩、舒婷、顾城等现当代诗人及其代表作品（《再别康桥》、《呵，母亲》、《一代人》）等；能熟读或背诵这些代表作品的经典片段。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时代背景、相关历史和作者生平经历，分析这些作品文本内容，并对所分析的作品的主题思想和艺术特色及其影响给予比较入情入理的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Theme="minorEastAsia" w:hAnsiTheme="minorEastAsia" w:eastAsiaTheme="minorEastAsia" w:cstheme="minorEastAsia"/>
          <w:color w:val="000000"/>
          <w:kern w:val="0"/>
          <w:szCs w:val="21"/>
        </w:rPr>
      </w:pP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第四单元：</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1、二十世纪八十年代以来小说导读（2课时）</w:t>
      </w:r>
    </w:p>
    <w:p>
      <w:pPr>
        <w:spacing w:line="360" w:lineRule="auto"/>
        <w:rPr>
          <w:rFonts w:asciiTheme="minorEastAsia" w:hAnsiTheme="minorEastAsia" w:eastAsiaTheme="minorEastAsia" w:cstheme="minorEastAsia"/>
          <w:color w:val="000000"/>
          <w:kern w:val="0"/>
          <w:szCs w:val="21"/>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了解二十世纪八十年代以来小说的发展简史以及代表作家、作品等；能熟读这些代表作品的经典片段。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时代背景和作者生平经历，分析这些作品文本内容，并对所分析的作品的主题思想和艺术特色及其影响给予比较入情入理的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Theme="minorEastAsia" w:hAnsiTheme="minorEastAsia" w:eastAsiaTheme="minorEastAsia" w:cstheme="minorEastAsia"/>
          <w:color w:val="000000"/>
          <w:kern w:val="0"/>
          <w:szCs w:val="21"/>
        </w:rPr>
      </w:pP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第五单元：</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古希腊罗马文学作品导读（《希腊神话》、《荷马史诗》等）（2课时）</w:t>
      </w:r>
    </w:p>
    <w:p>
      <w:pPr>
        <w:spacing w:line="360" w:lineRule="auto"/>
        <w:rPr>
          <w:rFonts w:ascii="黑体" w:hAnsi="黑体" w:eastAsia="黑体" w:cs="黑体"/>
          <w:color w:val="000000"/>
          <w:kern w:val="0"/>
          <w:sz w:val="24"/>
          <w:szCs w:val="24"/>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了解古希腊罗马的发展简史、著名戏剧作家及其生平和代表作品等；能熟读和背诵这些代表作品的经典片段。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时代背景和作者生平经历，分析这些作品文本内容，并对所分析的作品的主题思想和艺术特色及其影响给予比较入情入理的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2、莎士比亚作品导读（2课时）</w:t>
      </w:r>
    </w:p>
    <w:p>
      <w:pPr>
        <w:spacing w:line="360" w:lineRule="auto"/>
        <w:rPr>
          <w:rFonts w:ascii="黑体" w:hAnsi="黑体" w:eastAsia="黑体" w:cs="黑体"/>
          <w:color w:val="000000"/>
          <w:kern w:val="0"/>
          <w:sz w:val="24"/>
          <w:szCs w:val="24"/>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了解莎士比亚的生平和代表作品（《哈姆雷特》、《罗密欧与朱丽叶》等；能熟读和背诵这些代表作品的经典片段。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时代背景和作者生平经历，分析这些作品文本内容，并对所分析的作品的主题思想和艺术特色及其影响给予比较入情入理的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黑体" w:hAnsi="黑体" w:eastAsia="黑体" w:cs="黑体"/>
          <w:color w:val="000000"/>
          <w:kern w:val="0"/>
          <w:sz w:val="24"/>
          <w:szCs w:val="24"/>
        </w:rPr>
      </w:pPr>
      <w:r>
        <w:rPr>
          <w:rFonts w:hint="eastAsia" w:ascii="黑体" w:hAnsi="黑体" w:eastAsia="黑体" w:cs="黑体"/>
          <w:color w:val="000000"/>
          <w:kern w:val="0"/>
          <w:sz w:val="24"/>
          <w:szCs w:val="24"/>
        </w:rPr>
        <w:t>3、十九世纪以来俄国、印度、日本文学导读（《安娜卡列尼娜》、《新月集》、《雪国》等）（2课时）</w:t>
      </w:r>
    </w:p>
    <w:p>
      <w:pPr>
        <w:spacing w:line="360" w:lineRule="auto"/>
        <w:rPr>
          <w:rFonts w:ascii="黑体" w:hAnsi="黑体" w:eastAsia="黑体" w:cs="黑体"/>
          <w:color w:val="000000"/>
          <w:kern w:val="0"/>
          <w:sz w:val="24"/>
          <w:szCs w:val="24"/>
        </w:rPr>
      </w:pPr>
      <w:r>
        <w:rPr>
          <w:rFonts w:hint="eastAsia" w:ascii="黑体" w:hAnsi="黑体" w:eastAsia="黑体"/>
          <w:b/>
          <w:bCs/>
          <w:color w:val="FF0000"/>
          <w:szCs w:val="21"/>
        </w:rPr>
        <w:t>知道：</w:t>
      </w:r>
      <w:r>
        <w:rPr>
          <w:rFonts w:hint="eastAsia" w:asciiTheme="minorEastAsia" w:hAnsiTheme="minorEastAsia" w:eastAsiaTheme="minorEastAsia" w:cstheme="minorEastAsia"/>
          <w:color w:val="000000"/>
          <w:kern w:val="0"/>
          <w:szCs w:val="21"/>
        </w:rPr>
        <w:t>了解十九世纪以来俄国、印度、日本的著名作家及其生平和代表作品；能熟读这些代表作品的经典片段。</w:t>
      </w:r>
      <w:r>
        <w:rPr>
          <w:rFonts w:hint="eastAsia" w:ascii="黑体" w:hAnsi="黑体" w:eastAsia="黑体"/>
          <w:b/>
          <w:bCs/>
          <w:color w:val="FF0000"/>
          <w:szCs w:val="21"/>
        </w:rPr>
        <w:t>理解：</w:t>
      </w:r>
      <w:r>
        <w:rPr>
          <w:rFonts w:hint="eastAsia" w:asciiTheme="minorEastAsia" w:hAnsiTheme="minorEastAsia" w:eastAsiaTheme="minorEastAsia" w:cstheme="minorEastAsia"/>
          <w:color w:val="000000"/>
          <w:kern w:val="0"/>
          <w:szCs w:val="21"/>
        </w:rPr>
        <w:t>这些作品的思想内容及其丰富的艺术表现手法。</w:t>
      </w:r>
      <w:r>
        <w:rPr>
          <w:rFonts w:hint="eastAsia" w:ascii="黑体" w:hAnsi="黑体" w:eastAsia="黑体"/>
          <w:b/>
          <w:bCs/>
          <w:color w:val="FF0000"/>
          <w:szCs w:val="21"/>
        </w:rPr>
        <w:t>综合、运用</w:t>
      </w:r>
      <w:r>
        <w:rPr>
          <w:rFonts w:hint="eastAsia" w:asciiTheme="minorEastAsia" w:hAnsiTheme="minorEastAsia" w:eastAsiaTheme="minorEastAsia" w:cstheme="minorEastAsia"/>
          <w:color w:val="000000"/>
          <w:kern w:val="0"/>
          <w:szCs w:val="21"/>
        </w:rPr>
        <w:t>时代背景和作者生平经历，分析这些作品文本内容，并对所分析的作品的主题思想和艺术特色及其影响给予比较入情入理的</w:t>
      </w:r>
      <w:r>
        <w:rPr>
          <w:rFonts w:hint="eastAsia" w:ascii="黑体" w:hAnsi="黑体" w:eastAsia="黑体"/>
          <w:b/>
          <w:bCs/>
          <w:color w:val="FF0000"/>
          <w:szCs w:val="21"/>
        </w:rPr>
        <w:t>评价</w:t>
      </w:r>
      <w:r>
        <w:rPr>
          <w:rFonts w:hint="eastAsia" w:asciiTheme="minorEastAsia" w:hAnsiTheme="minorEastAsia" w:eastAsiaTheme="minorEastAsia" w:cstheme="minorEastAsia"/>
          <w:color w:val="000000"/>
          <w:kern w:val="0"/>
          <w:szCs w:val="21"/>
        </w:rPr>
        <w:t>。</w:t>
      </w:r>
    </w:p>
    <w:p>
      <w:pPr>
        <w:spacing w:line="360" w:lineRule="auto"/>
        <w:rPr>
          <w:rFonts w:asciiTheme="minorEastAsia" w:hAnsiTheme="minorEastAsia" w:eastAsiaTheme="minorEastAsia" w:cstheme="minorEastAsia"/>
          <w:color w:val="000000"/>
          <w:kern w:val="0"/>
          <w:szCs w:val="21"/>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r>
        <w:rPr>
          <w:rFonts w:ascii="黑体" w:hAnsi="宋体" w:eastAsia="黑体"/>
          <w:sz w:val="24"/>
        </w:rPr>
        <w:t>（必填项）</w:t>
      </w:r>
    </w:p>
    <w:p>
      <w:pPr>
        <w:snapToGrid w:val="0"/>
        <w:spacing w:line="288" w:lineRule="auto"/>
        <w:ind w:right="2520"/>
        <w:rPr>
          <w:rFonts w:ascii="黑体" w:hAnsi="宋体" w:eastAsia="黑体"/>
          <w:sz w:val="24"/>
        </w:rPr>
      </w:pPr>
    </w:p>
    <w:tbl>
      <w:tblPr>
        <w:tblStyle w:val="6"/>
        <w:tblpPr w:leftFromText="180" w:rightFromText="180" w:vertAnchor="text" w:horzAnchor="page" w:tblpX="1882" w:tblpY="-5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ascii="宋体" w:hAnsi="宋体"/>
                <w:bCs/>
                <w:color w:val="000000"/>
                <w:szCs w:val="20"/>
              </w:rPr>
              <w:t>1</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ascii="黑体" w:hAnsi="黑体" w:eastAsia="黑体" w:cs="黑体"/>
                <w:bCs/>
                <w:color w:val="000000"/>
                <w:szCs w:val="20"/>
              </w:rPr>
              <w:t>期末闭卷考试</w:t>
            </w: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bCs/>
                <w:color w:val="00000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ascii="宋体" w:hAnsi="宋体"/>
                <w:bCs/>
                <w:color w:val="000000"/>
                <w:szCs w:val="20"/>
              </w:rPr>
              <w:t>X1</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eastAsiaTheme="minorEastAsia"/>
                <w:bCs/>
                <w:color w:val="000000"/>
                <w:sz w:val="20"/>
                <w:lang w:eastAsia="zh-CN"/>
              </w:rPr>
              <w:t>任选一首唐诗或宋词进行赏析，</w:t>
            </w:r>
            <w:r>
              <w:rPr>
                <w:rFonts w:hint="eastAsia" w:eastAsiaTheme="minorEastAsia"/>
                <w:bCs/>
                <w:color w:val="000000"/>
                <w:sz w:val="20"/>
                <w:lang w:val="en-US" w:eastAsia="zh-CN"/>
              </w:rPr>
              <w:t>500字以上</w:t>
            </w: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bCs/>
                <w:color w:val="000000"/>
                <w:sz w:val="20"/>
              </w:rPr>
              <w:t>20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ascii="宋体" w:hAnsi="宋体"/>
                <w:bCs/>
                <w:color w:val="000000"/>
                <w:szCs w:val="20"/>
              </w:rPr>
              <w:t>X2</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rPr>
                <w:rFonts w:ascii="宋体"/>
                <w:bCs/>
                <w:color w:val="000000"/>
                <w:szCs w:val="20"/>
              </w:rPr>
            </w:pPr>
            <w:r>
              <w:rPr>
                <w:rFonts w:hint="eastAsia" w:ascii="宋体"/>
                <w:bCs/>
                <w:color w:val="000000"/>
                <w:szCs w:val="20"/>
              </w:rPr>
              <w:t xml:space="preserve">  </w:t>
            </w:r>
            <w:r>
              <w:rPr>
                <w:rFonts w:hint="eastAsia" w:eastAsia="宋体"/>
                <w:bCs/>
                <w:color w:val="000000"/>
                <w:sz w:val="20"/>
                <w:lang w:eastAsia="zh-CN"/>
              </w:rPr>
              <w:t>任选一篇小说，对其中的主要人物形象进行赏析，800字以上</w:t>
            </w: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bCs/>
                <w:color w:val="00000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ind w:firstLine="630" w:firstLineChars="300"/>
              <w:rPr>
                <w:rFonts w:ascii="宋体"/>
                <w:bCs/>
                <w:color w:val="000000"/>
                <w:szCs w:val="20"/>
              </w:rPr>
            </w:pPr>
            <w:r>
              <w:rPr>
                <w:rFonts w:ascii="宋体" w:hAnsi="宋体"/>
                <w:bCs/>
                <w:color w:val="000000"/>
                <w:szCs w:val="20"/>
              </w:rPr>
              <w:t>X3</w:t>
            </w:r>
          </w:p>
        </w:tc>
        <w:tc>
          <w:tcPr>
            <w:tcW w:w="5103"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eastAsia="宋体"/>
                <w:bCs/>
                <w:color w:val="000000"/>
                <w:sz w:val="20"/>
                <w:lang w:eastAsia="zh-CN"/>
              </w:rPr>
              <w:t>以学习小组为单位，任选一部作品，对其思想内容、影响与意义进行讨论评价，形成一份读书报告，1</w:t>
            </w:r>
            <w:r>
              <w:rPr>
                <w:rFonts w:hint="eastAsia" w:eastAsia="宋体"/>
                <w:bCs/>
                <w:color w:val="000000"/>
                <w:sz w:val="20"/>
                <w:lang w:val="en-US" w:eastAsia="zh-CN"/>
              </w:rPr>
              <w:t>5</w:t>
            </w:r>
            <w:r>
              <w:rPr>
                <w:rFonts w:hint="eastAsia" w:eastAsia="宋体"/>
                <w:bCs/>
                <w:color w:val="000000"/>
                <w:sz w:val="20"/>
                <w:lang w:eastAsia="zh-CN"/>
              </w:rPr>
              <w:t>00字以上</w:t>
            </w:r>
          </w:p>
        </w:tc>
        <w:tc>
          <w:tcPr>
            <w:tcW w:w="2127"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bCs/>
                <w:color w:val="000000"/>
                <w:szCs w:val="20"/>
              </w:rPr>
            </w:pPr>
            <w:r>
              <w:rPr>
                <w:rFonts w:hint="eastAsia"/>
                <w:bCs/>
                <w:color w:val="000000"/>
                <w:sz w:val="20"/>
              </w:rPr>
              <w:t>20%</w:t>
            </w:r>
          </w:p>
        </w:tc>
      </w:tr>
    </w:tbl>
    <w:p>
      <w:pPr>
        <w:snapToGrid w:val="0"/>
        <w:spacing w:line="288" w:lineRule="auto"/>
        <w:ind w:right="2520"/>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pPr>
      <w:r>
        <w:rPr>
          <w:rFonts w:hint="eastAsia"/>
          <w:sz w:val="28"/>
          <w:szCs w:val="28"/>
        </w:rPr>
        <w:t xml:space="preserve">                   </w:t>
      </w:r>
    </w:p>
    <w:p>
      <w:pPr>
        <w:spacing w:line="288" w:lineRule="auto"/>
        <w:jc w:val="center"/>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褚为强           系主任审核签名：</w:t>
      </w:r>
    </w:p>
    <w:p>
      <w:pPr>
        <w:snapToGrid w:val="0"/>
        <w:spacing w:line="288" w:lineRule="auto"/>
        <w:ind w:firstLine="840" w:firstLineChars="300"/>
        <w:rPr>
          <w:sz w:val="28"/>
          <w:szCs w:val="28"/>
        </w:rPr>
      </w:pPr>
      <w:r>
        <w:rPr>
          <w:rFonts w:hint="eastAsia"/>
          <w:sz w:val="28"/>
          <w:szCs w:val="28"/>
        </w:rPr>
        <w:t xml:space="preserve">审核时间：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00000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E22D"/>
    <w:multiLevelType w:val="singleLevel"/>
    <w:tmpl w:val="59FEE22D"/>
    <w:lvl w:ilvl="0" w:tentative="0">
      <w:start w:val="1"/>
      <w:numFmt w:val="decimal"/>
      <w:suff w:val="nothing"/>
      <w:lvlText w:val="%1、"/>
      <w:lvlJc w:val="left"/>
    </w:lvl>
  </w:abstractNum>
  <w:abstractNum w:abstractNumId="1">
    <w:nsid w:val="59FF7B31"/>
    <w:multiLevelType w:val="singleLevel"/>
    <w:tmpl w:val="59FF7B31"/>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44208"/>
    <w:rsid w:val="000B03E1"/>
    <w:rsid w:val="001072BC"/>
    <w:rsid w:val="00131B75"/>
    <w:rsid w:val="001343CF"/>
    <w:rsid w:val="00206C19"/>
    <w:rsid w:val="002228E1"/>
    <w:rsid w:val="00256B39"/>
    <w:rsid w:val="0026033C"/>
    <w:rsid w:val="002A1BFC"/>
    <w:rsid w:val="002E21D3"/>
    <w:rsid w:val="002E3721"/>
    <w:rsid w:val="00313BBA"/>
    <w:rsid w:val="0032602E"/>
    <w:rsid w:val="00332C7F"/>
    <w:rsid w:val="003367AE"/>
    <w:rsid w:val="003B1258"/>
    <w:rsid w:val="004100B0"/>
    <w:rsid w:val="004414AB"/>
    <w:rsid w:val="004961B0"/>
    <w:rsid w:val="005467DC"/>
    <w:rsid w:val="00553D03"/>
    <w:rsid w:val="00592D49"/>
    <w:rsid w:val="005B2B6D"/>
    <w:rsid w:val="005B4B4E"/>
    <w:rsid w:val="005B6C29"/>
    <w:rsid w:val="005F78D5"/>
    <w:rsid w:val="0060284E"/>
    <w:rsid w:val="00604202"/>
    <w:rsid w:val="00623D9B"/>
    <w:rsid w:val="00624FE1"/>
    <w:rsid w:val="0065427C"/>
    <w:rsid w:val="0066261B"/>
    <w:rsid w:val="006D3A3A"/>
    <w:rsid w:val="006D4330"/>
    <w:rsid w:val="007208D6"/>
    <w:rsid w:val="007753A4"/>
    <w:rsid w:val="00787805"/>
    <w:rsid w:val="007A2226"/>
    <w:rsid w:val="008505F2"/>
    <w:rsid w:val="008B397C"/>
    <w:rsid w:val="008B47F4"/>
    <w:rsid w:val="00900019"/>
    <w:rsid w:val="00900F6F"/>
    <w:rsid w:val="0099063E"/>
    <w:rsid w:val="00A22D93"/>
    <w:rsid w:val="00A769B1"/>
    <w:rsid w:val="00A821E7"/>
    <w:rsid w:val="00A837D5"/>
    <w:rsid w:val="00A868F5"/>
    <w:rsid w:val="00AC4C45"/>
    <w:rsid w:val="00AE29FF"/>
    <w:rsid w:val="00B21D06"/>
    <w:rsid w:val="00B37926"/>
    <w:rsid w:val="00B46F21"/>
    <w:rsid w:val="00B511A5"/>
    <w:rsid w:val="00B736A7"/>
    <w:rsid w:val="00B7651F"/>
    <w:rsid w:val="00C425BB"/>
    <w:rsid w:val="00C56E09"/>
    <w:rsid w:val="00CA7787"/>
    <w:rsid w:val="00CB0825"/>
    <w:rsid w:val="00CB4172"/>
    <w:rsid w:val="00CC6B2C"/>
    <w:rsid w:val="00CF096B"/>
    <w:rsid w:val="00D472CF"/>
    <w:rsid w:val="00D7708A"/>
    <w:rsid w:val="00DE6A48"/>
    <w:rsid w:val="00E16D30"/>
    <w:rsid w:val="00E33169"/>
    <w:rsid w:val="00E70904"/>
    <w:rsid w:val="00E72C6B"/>
    <w:rsid w:val="00EF44B1"/>
    <w:rsid w:val="00F13273"/>
    <w:rsid w:val="00F35AA0"/>
    <w:rsid w:val="00FD1BB5"/>
    <w:rsid w:val="016E63C2"/>
    <w:rsid w:val="024B0C39"/>
    <w:rsid w:val="0A8128A6"/>
    <w:rsid w:val="0BCE302C"/>
    <w:rsid w:val="0BF32A1B"/>
    <w:rsid w:val="10BD2C22"/>
    <w:rsid w:val="1B335059"/>
    <w:rsid w:val="22987C80"/>
    <w:rsid w:val="24192CCC"/>
    <w:rsid w:val="38B7414C"/>
    <w:rsid w:val="39A66CD4"/>
    <w:rsid w:val="3CD52CE1"/>
    <w:rsid w:val="3EDD0C3C"/>
    <w:rsid w:val="410F2E6A"/>
    <w:rsid w:val="4430136C"/>
    <w:rsid w:val="4AB0382B"/>
    <w:rsid w:val="53715B4F"/>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705</Words>
  <Characters>4022</Characters>
  <Lines>33</Lines>
  <Paragraphs>9</Paragraphs>
  <TotalTime>3</TotalTime>
  <ScaleCrop>false</ScaleCrop>
  <LinksUpToDate>false</LinksUpToDate>
  <CharactersWithSpaces>4718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2018-09-12T02:36:26Z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