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highlight w:val="none"/>
        </w:rPr>
      </w:pPr>
      <w:r>
        <w:rPr>
          <w:rFonts w:hint="default" w:ascii="Times New Roman" w:hAnsi="Times New Roman" w:cs="Times New Roman"/>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p>
      <w:pPr>
        <w:spacing w:line="288" w:lineRule="auto"/>
        <w:jc w:val="center"/>
        <w:rPr>
          <w:b/>
          <w:sz w:val="28"/>
          <w:szCs w:val="30"/>
          <w:highlight w:val="none"/>
        </w:rPr>
      </w:pPr>
      <w:r>
        <w:rPr>
          <w:rFonts w:hint="eastAsia"/>
          <w:b/>
          <w:sz w:val="28"/>
          <w:szCs w:val="30"/>
          <w:highlight w:val="none"/>
        </w:rPr>
        <w:t>【</w:t>
      </w:r>
      <w:r>
        <w:rPr>
          <w:rFonts w:hint="eastAsia"/>
          <w:b/>
          <w:sz w:val="28"/>
          <w:szCs w:val="30"/>
          <w:highlight w:val="none"/>
          <w:lang w:val="en-US" w:eastAsia="zh-CN"/>
        </w:rPr>
        <w:t>学科前沿</w:t>
      </w:r>
      <w:r>
        <w:rPr>
          <w:rFonts w:hint="eastAsia"/>
          <w:b/>
          <w:sz w:val="28"/>
          <w:szCs w:val="30"/>
          <w:highlight w:val="none"/>
        </w:rPr>
        <w:t>】</w:t>
      </w:r>
    </w:p>
    <w:p>
      <w:pPr>
        <w:shd w:val="clear" w:color="auto" w:fill="F5F5F5"/>
        <w:jc w:val="center"/>
        <w:textAlignment w:val="top"/>
        <w:rPr>
          <w:rFonts w:ascii="Arial" w:hAnsi="Arial" w:cs="Arial"/>
          <w:color w:val="888888"/>
          <w:kern w:val="0"/>
          <w:sz w:val="20"/>
          <w:szCs w:val="20"/>
          <w:highlight w:val="none"/>
        </w:rPr>
      </w:pPr>
      <w:r>
        <w:rPr>
          <w:rFonts w:hint="eastAsia"/>
          <w:b/>
          <w:sz w:val="28"/>
          <w:szCs w:val="30"/>
          <w:highlight w:val="none"/>
        </w:rPr>
        <w:t>【</w:t>
      </w:r>
      <w:r>
        <w:rPr>
          <w:rFonts w:hint="eastAsia"/>
          <w:b/>
          <w:sz w:val="24"/>
          <w:highlight w:val="none"/>
          <w:lang w:val="en-US" w:eastAsia="zh-CN"/>
        </w:rPr>
        <w:t>Frontier and Development Trends of Communication Discipline</w:t>
      </w:r>
      <w:r>
        <w:rPr>
          <w:rFonts w:hint="eastAsia"/>
          <w:b/>
          <w:sz w:val="28"/>
          <w:szCs w:val="30"/>
          <w:highlight w:val="none"/>
        </w:rPr>
        <w:t>】</w:t>
      </w:r>
      <w:bookmarkStart w:id="0" w:name="a2"/>
      <w:bookmarkEnd w:id="0"/>
    </w:p>
    <w:p>
      <w:pPr>
        <w:spacing w:beforeLines="50" w:afterLines="50" w:line="288" w:lineRule="auto"/>
        <w:ind w:firstLine="360" w:firstLineChars="150"/>
        <w:rPr>
          <w:b/>
          <w:color w:val="008080"/>
          <w:sz w:val="30"/>
          <w:szCs w:val="30"/>
          <w:highlight w:val="none"/>
        </w:rPr>
      </w:pPr>
      <w:r>
        <w:rPr>
          <w:rFonts w:ascii="黑体" w:hAnsi="宋体" w:eastAsia="黑体"/>
          <w:sz w:val="24"/>
          <w:highlight w:val="none"/>
        </w:rPr>
        <w:t>一</w:t>
      </w:r>
      <w:r>
        <w:rPr>
          <w:rFonts w:hint="eastAsia" w:ascii="黑体" w:hAnsi="宋体" w:eastAsia="黑体"/>
          <w:sz w:val="24"/>
          <w:highlight w:val="none"/>
        </w:rPr>
        <w:t>、</w:t>
      </w:r>
      <w:r>
        <w:rPr>
          <w:rFonts w:ascii="黑体" w:hAnsi="宋体" w:eastAsia="黑体"/>
          <w:sz w:val="24"/>
          <w:highlight w:val="none"/>
        </w:rPr>
        <w:t>基本信息</w:t>
      </w:r>
    </w:p>
    <w:p>
      <w:pPr>
        <w:snapToGrid w:val="0"/>
        <w:spacing w:line="288" w:lineRule="auto"/>
        <w:ind w:firstLine="394" w:firstLineChars="196"/>
        <w:rPr>
          <w:color w:val="000000"/>
          <w:sz w:val="20"/>
          <w:szCs w:val="20"/>
          <w:highlight w:val="none"/>
        </w:rPr>
      </w:pPr>
      <w:r>
        <w:rPr>
          <w:b/>
          <w:bCs/>
          <w:color w:val="000000"/>
          <w:sz w:val="20"/>
          <w:szCs w:val="20"/>
          <w:highlight w:val="none"/>
        </w:rPr>
        <w:t>课程代码：</w:t>
      </w:r>
      <w:r>
        <w:rPr>
          <w:color w:val="000000"/>
          <w:sz w:val="20"/>
          <w:szCs w:val="20"/>
          <w:highlight w:val="none"/>
        </w:rPr>
        <w:t>【</w:t>
      </w:r>
      <w:r>
        <w:rPr>
          <w:rFonts w:hint="eastAsia"/>
          <w:color w:val="000000"/>
          <w:sz w:val="20"/>
          <w:szCs w:val="20"/>
          <w:highlight w:val="none"/>
          <w:lang w:val="en-US" w:eastAsia="zh-CN"/>
        </w:rPr>
        <w:t>2030512</w:t>
      </w:r>
      <w:r>
        <w:rPr>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课程学分：</w:t>
      </w:r>
      <w:r>
        <w:rPr>
          <w:color w:val="000000"/>
          <w:sz w:val="20"/>
          <w:szCs w:val="20"/>
          <w:highlight w:val="none"/>
        </w:rPr>
        <w:t>【</w:t>
      </w:r>
      <w:r>
        <w:rPr>
          <w:rFonts w:hint="eastAsia"/>
          <w:color w:val="000000"/>
          <w:sz w:val="20"/>
          <w:szCs w:val="20"/>
          <w:highlight w:val="none"/>
          <w:lang w:val="en-US" w:eastAsia="zh-CN"/>
        </w:rPr>
        <w:t>2</w:t>
      </w:r>
      <w:r>
        <w:rPr>
          <w:color w:val="000000"/>
          <w:sz w:val="20"/>
          <w:szCs w:val="20"/>
          <w:highlight w:val="none"/>
        </w:rPr>
        <w:t>】</w:t>
      </w:r>
    </w:p>
    <w:p>
      <w:pPr>
        <w:snapToGrid w:val="0"/>
        <w:spacing w:line="288" w:lineRule="auto"/>
        <w:ind w:firstLine="394" w:firstLineChars="196"/>
        <w:rPr>
          <w:color w:val="000000"/>
          <w:szCs w:val="21"/>
          <w:highlight w:val="none"/>
        </w:rPr>
      </w:pPr>
      <w:r>
        <w:rPr>
          <w:b/>
          <w:bCs/>
          <w:color w:val="000000"/>
          <w:sz w:val="20"/>
          <w:szCs w:val="20"/>
          <w:highlight w:val="none"/>
        </w:rPr>
        <w:t>面向专业：</w:t>
      </w:r>
      <w:r>
        <w:rPr>
          <w:color w:val="000000"/>
          <w:sz w:val="20"/>
          <w:szCs w:val="20"/>
          <w:highlight w:val="none"/>
        </w:rPr>
        <w:t>【</w:t>
      </w:r>
      <w:r>
        <w:rPr>
          <w:rFonts w:hint="eastAsia"/>
          <w:color w:val="000000"/>
          <w:sz w:val="20"/>
          <w:szCs w:val="20"/>
          <w:highlight w:val="none"/>
          <w:lang w:val="en-US" w:eastAsia="zh-CN"/>
        </w:rPr>
        <w:t>传播学、新媒体</w:t>
      </w:r>
      <w:r>
        <w:rPr>
          <w:color w:val="000000"/>
          <w:sz w:val="20"/>
          <w:szCs w:val="20"/>
          <w:highlight w:val="none"/>
        </w:rPr>
        <w:t>】</w:t>
      </w:r>
    </w:p>
    <w:p>
      <w:pPr>
        <w:snapToGrid w:val="0"/>
        <w:spacing w:line="288" w:lineRule="auto"/>
        <w:ind w:firstLine="394" w:firstLineChars="196"/>
        <w:rPr>
          <w:color w:val="000000"/>
          <w:sz w:val="20"/>
          <w:szCs w:val="20"/>
          <w:highlight w:val="none"/>
        </w:rPr>
      </w:pPr>
      <w:r>
        <w:rPr>
          <w:b/>
          <w:bCs/>
          <w:color w:val="000000"/>
          <w:sz w:val="20"/>
          <w:szCs w:val="20"/>
          <w:highlight w:val="none"/>
        </w:rPr>
        <w:t>课程性质：</w:t>
      </w:r>
      <w:r>
        <w:rPr>
          <w:color w:val="000000"/>
          <w:sz w:val="20"/>
          <w:szCs w:val="20"/>
          <w:highlight w:val="none"/>
        </w:rPr>
        <w:t>【</w:t>
      </w:r>
      <w:r>
        <w:rPr>
          <w:rFonts w:hint="eastAsia"/>
          <w:color w:val="000000"/>
          <w:sz w:val="20"/>
          <w:szCs w:val="20"/>
          <w:highlight w:val="none"/>
          <w:lang w:val="en-US" w:eastAsia="zh-CN"/>
        </w:rPr>
        <w:t>专业必修课</w:t>
      </w:r>
      <w:r>
        <w:rPr>
          <w:color w:val="000000"/>
          <w:sz w:val="20"/>
          <w:szCs w:val="20"/>
          <w:highlight w:val="none"/>
        </w:rPr>
        <w:t>】</w:t>
      </w:r>
    </w:p>
    <w:p>
      <w:pPr>
        <w:snapToGrid w:val="0"/>
        <w:spacing w:line="288" w:lineRule="auto"/>
        <w:ind w:firstLine="394" w:firstLineChars="196"/>
        <w:rPr>
          <w:rFonts w:hint="eastAsia" w:eastAsia="宋体"/>
          <w:b/>
          <w:bCs/>
          <w:color w:val="000000"/>
          <w:szCs w:val="21"/>
          <w:highlight w:val="none"/>
          <w:lang w:val="en-US" w:eastAsia="zh-CN"/>
        </w:rPr>
      </w:pPr>
      <w:r>
        <w:rPr>
          <w:b/>
          <w:bCs/>
          <w:color w:val="000000"/>
          <w:sz w:val="20"/>
          <w:szCs w:val="20"/>
          <w:highlight w:val="none"/>
        </w:rPr>
        <w:t>开课院系：</w:t>
      </w:r>
      <w:r>
        <w:rPr>
          <w:rFonts w:hint="eastAsia"/>
          <w:b/>
          <w:bCs/>
          <w:color w:val="000000"/>
          <w:sz w:val="20"/>
          <w:szCs w:val="20"/>
          <w:highlight w:val="none"/>
          <w:lang w:val="en-US" w:eastAsia="zh-CN"/>
        </w:rPr>
        <w:t>新闻传播学院</w:t>
      </w:r>
    </w:p>
    <w:p>
      <w:pPr>
        <w:snapToGrid w:val="0"/>
        <w:spacing w:line="288" w:lineRule="auto"/>
        <w:ind w:firstLine="394" w:firstLineChars="196"/>
        <w:rPr>
          <w:color w:val="000000"/>
          <w:sz w:val="20"/>
          <w:szCs w:val="20"/>
          <w:highlight w:val="none"/>
        </w:rPr>
      </w:pPr>
      <w:r>
        <w:rPr>
          <w:b/>
          <w:bCs/>
          <w:color w:val="000000"/>
          <w:sz w:val="20"/>
          <w:szCs w:val="20"/>
          <w:highlight w:val="none"/>
        </w:rPr>
        <w:t>使用教材：</w:t>
      </w:r>
    </w:p>
    <w:p>
      <w:pPr>
        <w:snapToGrid w:val="0"/>
        <w:spacing w:line="288" w:lineRule="auto"/>
        <w:ind w:left="718" w:leftChars="342" w:firstLine="100" w:firstLineChars="50"/>
        <w:rPr>
          <w:color w:val="000000"/>
          <w:sz w:val="20"/>
          <w:szCs w:val="20"/>
          <w:highlight w:val="none"/>
        </w:rPr>
      </w:pPr>
      <w:r>
        <w:rPr>
          <w:color w:val="000000"/>
          <w:sz w:val="20"/>
          <w:szCs w:val="20"/>
          <w:highlight w:val="none"/>
        </w:rPr>
        <w:t>教材【</w:t>
      </w:r>
      <w:r>
        <w:rPr>
          <w:rFonts w:hint="eastAsia"/>
          <w:color w:val="000000"/>
          <w:sz w:val="20"/>
          <w:szCs w:val="20"/>
          <w:highlight w:val="none"/>
          <w:lang w:val="en-US" w:eastAsia="zh-CN"/>
        </w:rPr>
        <w:t>无</w:t>
      </w:r>
      <w:r>
        <w:rPr>
          <w:color w:val="000000"/>
          <w:sz w:val="20"/>
          <w:szCs w:val="20"/>
          <w:highlight w:val="none"/>
        </w:rPr>
        <w:t>】</w:t>
      </w:r>
    </w:p>
    <w:p>
      <w:pPr>
        <w:snapToGrid w:val="0"/>
        <w:spacing w:line="288" w:lineRule="auto"/>
        <w:ind w:left="718" w:leftChars="342" w:firstLine="100" w:firstLineChars="50"/>
        <w:rPr>
          <w:color w:val="000000"/>
          <w:sz w:val="20"/>
          <w:szCs w:val="20"/>
          <w:highlight w:val="none"/>
        </w:rPr>
      </w:pPr>
      <w:r>
        <w:rPr>
          <w:rFonts w:hint="eastAsia"/>
          <w:color w:val="000000"/>
          <w:sz w:val="20"/>
          <w:szCs w:val="20"/>
          <w:highlight w:val="none"/>
          <w:lang w:val="en-US" w:eastAsia="zh-CN"/>
        </w:rPr>
        <w:t>参考书目</w:t>
      </w:r>
      <w:r>
        <w:rPr>
          <w:color w:val="000000"/>
          <w:sz w:val="20"/>
          <w:szCs w:val="20"/>
          <w:highlight w:val="none"/>
        </w:rPr>
        <w:t>【</w:t>
      </w:r>
    </w:p>
    <w:p>
      <w:pPr>
        <w:snapToGrid w:val="0"/>
        <w:spacing w:line="288" w:lineRule="auto"/>
        <w:ind w:left="718" w:leftChars="342" w:firstLine="100" w:firstLineChars="50"/>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lang w:val="en-US" w:eastAsia="zh-CN"/>
        </w:rPr>
        <w:t>新闻理论十讲</w:t>
      </w: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lang w:val="en-US" w:eastAsia="zh-CN"/>
        </w:rPr>
        <w:t>陈力丹著，复旦大学出版社，2008年6月</w:t>
      </w:r>
    </w:p>
    <w:p>
      <w:pPr>
        <w:snapToGrid w:val="0"/>
        <w:spacing w:line="288" w:lineRule="auto"/>
        <w:ind w:left="718" w:leftChars="342" w:firstLine="100" w:firstLineChars="50"/>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eastAsia="zh-CN"/>
        </w:rPr>
        <w:t>《</w:t>
      </w:r>
      <w:r>
        <w:rPr>
          <w:rFonts w:hint="eastAsia" w:ascii="宋体" w:hAnsi="宋体" w:eastAsia="宋体" w:cs="宋体"/>
          <w:color w:val="000000"/>
          <w:sz w:val="20"/>
          <w:szCs w:val="20"/>
          <w:highlight w:val="none"/>
          <w:lang w:val="en-US" w:eastAsia="zh-CN"/>
        </w:rPr>
        <w:t>什么在决定新闻》，【美】赫伯特·甘斯著，石琳、李红涛译，北京大学出版社，2009年9月第一版</w:t>
      </w:r>
    </w:p>
    <w:p>
      <w:pPr>
        <w:snapToGrid w:val="0"/>
        <w:spacing w:line="288" w:lineRule="auto"/>
        <w:ind w:left="718" w:leftChars="342" w:firstLine="100" w:firstLineChars="50"/>
        <w:rPr>
          <w:rFonts w:hint="default"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《融媒体与频道节目运营》，李万才、王孟广著，中国广播影视出版社，2019年10月</w:t>
      </w:r>
    </w:p>
    <w:p>
      <w:pPr>
        <w:snapToGrid w:val="0"/>
        <w:spacing w:line="288" w:lineRule="auto"/>
        <w:ind w:left="718" w:leftChars="342" w:firstLine="100" w:firstLineChars="50"/>
        <w:rPr>
          <w:color w:val="000000"/>
          <w:sz w:val="20"/>
          <w:szCs w:val="20"/>
          <w:highlight w:val="none"/>
        </w:rPr>
      </w:pPr>
      <w:r>
        <w:rPr>
          <w:rFonts w:hint="eastAsia" w:ascii="宋体" w:hAnsi="宋体" w:eastAsia="宋体" w:cs="宋体"/>
          <w:color w:val="000000"/>
          <w:sz w:val="20"/>
          <w:szCs w:val="20"/>
          <w:highlight w:val="none"/>
          <w:lang w:val="en-US" w:eastAsia="zh-CN"/>
        </w:rPr>
        <w:t>《文本盗猎者：电视粉丝与参与式文化》，【美】亨利·詹金斯，郑熙青译，北京大学出版社，2016年11月</w:t>
      </w:r>
      <w:r>
        <w:rPr>
          <w:color w:val="000000"/>
          <w:sz w:val="20"/>
          <w:szCs w:val="20"/>
          <w:highlight w:val="none"/>
        </w:rPr>
        <w:t>】</w:t>
      </w:r>
    </w:p>
    <w:p>
      <w:pPr>
        <w:adjustRightInd w:val="0"/>
        <w:snapToGrid w:val="0"/>
        <w:spacing w:line="288" w:lineRule="auto"/>
        <w:ind w:firstLine="394" w:firstLineChars="196"/>
        <w:rPr>
          <w:rFonts w:hint="eastAsia"/>
          <w:b/>
          <w:bCs/>
          <w:color w:val="000000"/>
          <w:sz w:val="20"/>
          <w:szCs w:val="20"/>
          <w:highlight w:val="none"/>
        </w:rPr>
      </w:pPr>
      <w:r>
        <w:rPr>
          <w:rFonts w:hint="eastAsia"/>
          <w:b/>
          <w:bCs/>
          <w:color w:val="000000"/>
          <w:sz w:val="20"/>
          <w:szCs w:val="20"/>
          <w:highlight w:val="none"/>
        </w:rPr>
        <w:t>课程网站网址：</w:t>
      </w:r>
    </w:p>
    <w:p>
      <w:pPr>
        <w:adjustRightInd w:val="0"/>
        <w:snapToGrid w:val="0"/>
        <w:spacing w:line="288" w:lineRule="auto"/>
        <w:ind w:firstLine="394" w:firstLineChars="196"/>
        <w:rPr>
          <w:color w:val="000000"/>
          <w:sz w:val="20"/>
          <w:szCs w:val="20"/>
          <w:highlight w:val="none"/>
        </w:rPr>
      </w:pPr>
      <w:r>
        <w:rPr>
          <w:b/>
          <w:bCs/>
          <w:color w:val="000000"/>
          <w:sz w:val="20"/>
          <w:szCs w:val="20"/>
          <w:highlight w:val="none"/>
        </w:rPr>
        <w:t>先修课程：</w:t>
      </w:r>
      <w:r>
        <w:rPr>
          <w:color w:val="000000"/>
          <w:sz w:val="20"/>
          <w:szCs w:val="20"/>
          <w:highlight w:val="none"/>
        </w:rPr>
        <w:t>【</w:t>
      </w:r>
      <w:r>
        <w:rPr>
          <w:rFonts w:hint="eastAsia"/>
          <w:color w:val="000000"/>
          <w:sz w:val="20"/>
          <w:szCs w:val="20"/>
          <w:highlight w:val="none"/>
          <w:lang w:eastAsia="zh-CN"/>
        </w:rPr>
        <w:t>《</w:t>
      </w:r>
      <w:r>
        <w:rPr>
          <w:rFonts w:hint="eastAsia"/>
          <w:color w:val="000000"/>
          <w:sz w:val="20"/>
          <w:szCs w:val="20"/>
          <w:highlight w:val="none"/>
          <w:lang w:val="en-US" w:eastAsia="zh-CN"/>
        </w:rPr>
        <w:t>传播学概论</w:t>
      </w:r>
      <w:r>
        <w:rPr>
          <w:rFonts w:hint="eastAsia"/>
          <w:color w:val="000000"/>
          <w:sz w:val="20"/>
          <w:szCs w:val="20"/>
          <w:highlight w:val="none"/>
          <w:lang w:eastAsia="zh-CN"/>
        </w:rPr>
        <w:t>》</w:t>
      </w:r>
      <w:r>
        <w:rPr>
          <w:color w:val="000000"/>
          <w:sz w:val="20"/>
          <w:szCs w:val="20"/>
          <w:highlight w:val="none"/>
        </w:rPr>
        <w:t>】</w:t>
      </w:r>
    </w:p>
    <w:p>
      <w:pPr>
        <w:adjustRightInd w:val="0"/>
        <w:snapToGrid w:val="0"/>
        <w:spacing w:line="288" w:lineRule="auto"/>
        <w:ind w:firstLine="392" w:firstLineChars="196"/>
        <w:rPr>
          <w:color w:val="000000"/>
          <w:sz w:val="20"/>
          <w:szCs w:val="20"/>
          <w:highlight w:val="none"/>
        </w:rPr>
      </w:pPr>
    </w:p>
    <w:p>
      <w:pPr>
        <w:adjustRightInd w:val="0"/>
        <w:snapToGrid w:val="0"/>
        <w:spacing w:beforeLines="50" w:afterLines="50" w:line="288" w:lineRule="auto"/>
        <w:ind w:firstLine="348" w:firstLineChars="145"/>
        <w:rPr>
          <w:rFonts w:hint="eastAsia"/>
          <w:color w:val="000000"/>
          <w:sz w:val="20"/>
          <w:szCs w:val="20"/>
          <w:highlight w:val="none"/>
        </w:rPr>
      </w:pPr>
      <w:r>
        <w:rPr>
          <w:rFonts w:ascii="黑体" w:hAnsi="宋体" w:eastAsia="黑体"/>
          <w:sz w:val="24"/>
          <w:highlight w:val="none"/>
        </w:rPr>
        <w:t>二</w:t>
      </w:r>
      <w:r>
        <w:rPr>
          <w:rFonts w:hint="eastAsia" w:ascii="黑体" w:hAnsi="宋体" w:eastAsia="黑体"/>
          <w:sz w:val="24"/>
          <w:highlight w:val="none"/>
        </w:rPr>
        <w:t>、</w:t>
      </w:r>
      <w:r>
        <w:rPr>
          <w:rFonts w:ascii="黑体" w:hAnsi="宋体" w:eastAsia="黑体"/>
          <w:sz w:val="24"/>
          <w:highlight w:val="none"/>
        </w:rPr>
        <w:t>课程简介</w:t>
      </w:r>
    </w:p>
    <w:p>
      <w:pPr>
        <w:snapToGrid w:val="0"/>
        <w:spacing w:line="288" w:lineRule="auto"/>
        <w:ind w:firstLine="400" w:firstLineChars="200"/>
        <w:rPr>
          <w:rFonts w:hint="eastAsia"/>
          <w:color w:val="000000"/>
          <w:sz w:val="20"/>
          <w:szCs w:val="20"/>
          <w:highlight w:val="none"/>
          <w:lang w:val="en-US" w:eastAsia="zh-CN"/>
        </w:rPr>
      </w:pPr>
      <w:r>
        <w:rPr>
          <w:rFonts w:hint="eastAsia"/>
          <w:color w:val="000000"/>
          <w:sz w:val="20"/>
          <w:szCs w:val="20"/>
          <w:highlight w:val="none"/>
          <w:lang w:val="en-US" w:eastAsia="zh-CN"/>
        </w:rPr>
        <w:t>本课程是为传播学专业毕业班学生开设的综合性专业提高课程。主要内容是介绍新闻传播学当前的新发展与前沿知识。如互联网大发展的背景对传媒业带来的机遇与挑战；新媒体技术在传媒业中的融合应用、融媒体内容生产的流程与特征、数字新闻的现状与前景、电视节目制作与运营、品牌打造等，聚焦传媒业领域的新变化、新进展。同时，本课程也结合社会学、心理学等传播学交叉学科的理论知识，引导学生关注传媒业变革的经济与社会背景，就传媒技术进展下新闻专业主义内涵的演化、受众市场和受众心理的变化、新媒体引发的社会文化变革等专业前沿话题，进行研究与探讨。</w:t>
      </w:r>
    </w:p>
    <w:p>
      <w:pPr>
        <w:snapToGrid w:val="0"/>
        <w:spacing w:line="288" w:lineRule="auto"/>
        <w:ind w:firstLine="400" w:firstLineChars="200"/>
        <w:rPr>
          <w:rFonts w:hint="eastAsia"/>
          <w:color w:val="000000"/>
          <w:sz w:val="20"/>
          <w:szCs w:val="20"/>
          <w:highlight w:val="none"/>
        </w:rPr>
      </w:pPr>
      <w:r>
        <w:rPr>
          <w:rFonts w:hint="eastAsia"/>
          <w:color w:val="000000"/>
          <w:sz w:val="20"/>
          <w:szCs w:val="20"/>
          <w:highlight w:val="none"/>
          <w:lang w:val="en-US" w:eastAsia="zh-CN"/>
        </w:rPr>
        <w:t>通过本课程学习，使学生能更多地了解新闻传播学专业当前需要解决的主要问题，对新闻传播学近年的新理论、新知识、新关注的热点问题有全面、深入的理解，掌握传播学尤其是新媒体传播前沿的研究动态、开拓学生的视野、拓宽学生的知识面，锻炼学生以专业视角、运用专业理论分析媒体热点话题的能力，掌握文献检索、文献综述、内容分析、文本分析等传播学研究方法，为毕业阶段的研究与设计奠定基础。</w:t>
      </w:r>
    </w:p>
    <w:p>
      <w:pPr>
        <w:widowControl/>
        <w:spacing w:beforeLines="50" w:afterLines="50" w:line="288" w:lineRule="auto"/>
        <w:ind w:firstLine="360" w:firstLineChars="150"/>
        <w:jc w:val="left"/>
        <w:rPr>
          <w:rFonts w:ascii="黑体" w:hAnsi="宋体" w:eastAsia="黑体"/>
          <w:sz w:val="24"/>
          <w:highlight w:val="none"/>
        </w:rPr>
      </w:pPr>
      <w:r>
        <w:rPr>
          <w:rFonts w:ascii="黑体" w:hAnsi="宋体" w:eastAsia="黑体"/>
          <w:sz w:val="24"/>
          <w:highlight w:val="none"/>
        </w:rPr>
        <w:t>三</w:t>
      </w:r>
      <w:r>
        <w:rPr>
          <w:rFonts w:hint="eastAsia" w:ascii="黑体" w:hAnsi="宋体" w:eastAsia="黑体"/>
          <w:sz w:val="24"/>
          <w:highlight w:val="none"/>
        </w:rPr>
        <w:t>、</w:t>
      </w:r>
      <w:r>
        <w:rPr>
          <w:rFonts w:ascii="黑体" w:hAnsi="宋体" w:eastAsia="黑体"/>
          <w:sz w:val="24"/>
          <w:highlight w:val="none"/>
        </w:rPr>
        <w:t>选课建议</w:t>
      </w:r>
    </w:p>
    <w:p>
      <w:pPr>
        <w:snapToGrid w:val="0"/>
        <w:spacing w:line="288" w:lineRule="auto"/>
        <w:ind w:firstLine="400" w:firstLineChars="200"/>
        <w:rPr>
          <w:color w:val="000000"/>
          <w:sz w:val="20"/>
          <w:szCs w:val="20"/>
          <w:highlight w:val="none"/>
        </w:rPr>
      </w:pPr>
    </w:p>
    <w:p>
      <w:pPr>
        <w:snapToGrid w:val="0"/>
        <w:spacing w:line="288" w:lineRule="auto"/>
        <w:ind w:firstLine="400" w:firstLineChars="200"/>
        <w:rPr>
          <w:rFonts w:hint="default"/>
          <w:color w:val="000000"/>
          <w:sz w:val="20"/>
          <w:szCs w:val="20"/>
          <w:highlight w:val="none"/>
          <w:lang w:val="en-US" w:eastAsia="zh-CN"/>
        </w:rPr>
      </w:pPr>
      <w:r>
        <w:rPr>
          <w:rFonts w:hint="eastAsia"/>
          <w:color w:val="000000"/>
          <w:sz w:val="20"/>
          <w:szCs w:val="20"/>
          <w:highlight w:val="none"/>
          <w:lang w:val="en-US" w:eastAsia="zh-CN"/>
        </w:rPr>
        <w:t>本课程适合传播学、网络新媒体、传播艺术等传播学相关专业高年级的学生，以毕业班为主，可在四年级第一学期开课。学生应已修完传播学概论、新媒体传播等先期课程，对专业理论、专业技能有一定程度的掌握。本课程在上述先修课程的基础上，着重介绍传媒业界与学术界较新、较前沿的理论和知识，帮助学生在专业基础上取得进一步的提高。增强学生对本专业行业、学界现状以及当前关心的热点话题的了解，并且有助于学生提前了解毕业阶段的工作、毕业后就业、进学等重要问题，做好知识上和心理上的准备。</w:t>
      </w:r>
    </w:p>
    <w:p>
      <w:pPr>
        <w:snapToGrid w:val="0"/>
        <w:spacing w:line="288" w:lineRule="auto"/>
        <w:ind w:firstLine="400" w:firstLineChars="200"/>
        <w:rPr>
          <w:rFonts w:hint="default" w:eastAsia="宋体"/>
          <w:color w:val="000000"/>
          <w:sz w:val="20"/>
          <w:szCs w:val="20"/>
          <w:highlight w:val="none"/>
          <w:lang w:val="en-US" w:eastAsia="zh-CN"/>
        </w:rPr>
      </w:pPr>
      <w:r>
        <w:rPr>
          <w:rFonts w:hint="eastAsia"/>
          <w:color w:val="000000"/>
          <w:sz w:val="20"/>
          <w:szCs w:val="20"/>
          <w:highlight w:val="none"/>
          <w:lang w:val="en-US" w:eastAsia="zh-CN"/>
        </w:rPr>
        <w:t>本课程无后续课程。</w:t>
      </w:r>
    </w:p>
    <w:p>
      <w:pPr>
        <w:snapToGrid w:val="0"/>
        <w:spacing w:line="288" w:lineRule="auto"/>
        <w:ind w:firstLine="400" w:firstLineChars="200"/>
        <w:rPr>
          <w:color w:val="000000"/>
          <w:sz w:val="20"/>
          <w:szCs w:val="20"/>
          <w:highlight w:val="none"/>
        </w:rPr>
      </w:pPr>
    </w:p>
    <w:p>
      <w:pPr>
        <w:widowControl/>
        <w:spacing w:beforeLines="50" w:afterLines="50" w:line="288" w:lineRule="auto"/>
        <w:ind w:firstLine="360" w:firstLineChars="150"/>
        <w:jc w:val="left"/>
        <w:rPr>
          <w:rFonts w:ascii="黑体" w:hAnsi="宋体" w:eastAsia="黑体"/>
          <w:color w:val="auto"/>
          <w:sz w:val="24"/>
          <w:highlight w:val="none"/>
        </w:rPr>
      </w:pPr>
      <w:r>
        <w:rPr>
          <w:rFonts w:ascii="黑体" w:hAnsi="宋体" w:eastAsia="黑体"/>
          <w:color w:val="auto"/>
          <w:sz w:val="24"/>
          <w:highlight w:val="none"/>
        </w:rPr>
        <w:t>四</w:t>
      </w:r>
      <w:r>
        <w:rPr>
          <w:rFonts w:hint="eastAsia" w:ascii="黑体" w:hAnsi="宋体" w:eastAsia="黑体"/>
          <w:color w:val="auto"/>
          <w:sz w:val="24"/>
          <w:highlight w:val="none"/>
        </w:rPr>
        <w:t>、</w:t>
      </w:r>
      <w:r>
        <w:rPr>
          <w:rFonts w:ascii="黑体" w:hAnsi="宋体" w:eastAsia="黑体"/>
          <w:color w:val="auto"/>
          <w:sz w:val="24"/>
          <w:highlight w:val="none"/>
        </w:rPr>
        <w:t>课程与</w:t>
      </w:r>
      <w:r>
        <w:rPr>
          <w:rFonts w:hint="eastAsia" w:ascii="黑体" w:hAnsi="宋体" w:eastAsia="黑体"/>
          <w:color w:val="auto"/>
          <w:sz w:val="24"/>
          <w:highlight w:val="none"/>
        </w:rPr>
        <w:t>专业毕业要求</w:t>
      </w:r>
      <w:r>
        <w:rPr>
          <w:rFonts w:ascii="黑体" w:hAnsi="宋体" w:eastAsia="黑体"/>
          <w:color w:val="auto"/>
          <w:sz w:val="24"/>
          <w:highlight w:val="none"/>
        </w:rPr>
        <w:t>的关联性</w:t>
      </w:r>
    </w:p>
    <w:p>
      <w:pPr>
        <w:ind w:firstLine="420" w:firstLineChars="200"/>
        <w:rPr>
          <w:rFonts w:hint="eastAsia"/>
          <w:highlight w:val="none"/>
        </w:rPr>
      </w:pPr>
    </w:p>
    <w:tbl>
      <w:tblPr>
        <w:tblStyle w:val="4"/>
        <w:tblW w:w="8222" w:type="dxa"/>
        <w:tblInd w:w="108" w:type="dxa"/>
        <w:tblLayout w:type="autofit"/>
        <w:tblCellMar>
          <w:top w:w="0" w:type="dxa"/>
          <w:left w:w="108" w:type="dxa"/>
          <w:bottom w:w="0" w:type="dxa"/>
          <w:right w:w="108" w:type="dxa"/>
        </w:tblCellMar>
      </w:tblPr>
      <w:tblGrid>
        <w:gridCol w:w="681"/>
        <w:gridCol w:w="990"/>
        <w:gridCol w:w="5700"/>
        <w:gridCol w:w="851"/>
      </w:tblGrid>
      <w:tr>
        <w:tblPrEx>
          <w:tblCellMar>
            <w:top w:w="0" w:type="dxa"/>
            <w:left w:w="108" w:type="dxa"/>
            <w:bottom w:w="0" w:type="dxa"/>
            <w:right w:w="108" w:type="dxa"/>
          </w:tblCellMar>
        </w:tblPrEx>
        <w:trPr>
          <w:trHeight w:val="645" w:hRule="atLeast"/>
        </w:trPr>
        <w:tc>
          <w:tcPr>
            <w:tcW w:w="737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eastAsia="黑体" w:asciiTheme="majorBidi" w:hAnsiTheme="majorBidi" w:cstheme="majorBidi"/>
                <w:kern w:val="0"/>
                <w:szCs w:val="21"/>
              </w:rPr>
              <w:t>专业毕业要求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eastAsia="黑体" w:asciiTheme="majorBidi" w:hAnsiTheme="majorBidi" w:cstheme="majorBidi"/>
                <w:kern w:val="0"/>
                <w:szCs w:val="21"/>
              </w:rPr>
              <w:t>关联</w:t>
            </w:r>
          </w:p>
        </w:tc>
      </w:tr>
      <w:tr>
        <w:tblPrEx>
          <w:tblCellMar>
            <w:top w:w="0" w:type="dxa"/>
            <w:left w:w="108" w:type="dxa"/>
            <w:bottom w:w="0" w:type="dxa"/>
            <w:right w:w="108" w:type="dxa"/>
          </w:tblCellMar>
        </w:tblPrEx>
        <w:trPr>
          <w:trHeight w:val="645" w:hRule="atLeast"/>
        </w:trPr>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L011</w:t>
            </w:r>
          </w:p>
        </w:tc>
        <w:tc>
          <w:tcPr>
            <w:tcW w:w="9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LO111</w:t>
            </w:r>
          </w:p>
        </w:tc>
        <w:tc>
          <w:tcPr>
            <w:tcW w:w="57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倾听他人意见、尊重他人观点、分析他人需求。</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nil"/>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LO112</w:t>
            </w:r>
          </w:p>
        </w:tc>
        <w:tc>
          <w:tcPr>
            <w:tcW w:w="5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应用书面或口头形式，阐释自己的观点，有效沟通。</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68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L021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LO211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能根据需要确定学习目标，并设计学习计划。</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825" w:hRule="atLeast"/>
        </w:trPr>
        <w:tc>
          <w:tcPr>
            <w:tcW w:w="681" w:type="dxa"/>
            <w:vMerge w:val="continue"/>
            <w:tcBorders>
              <w:top w:val="nil"/>
              <w:left w:val="single" w:color="auto" w:sz="4" w:space="0"/>
              <w:bottom w:val="single" w:color="auto"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LO212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能搜集、获取达到目标所需要的学习资源，实施学习计划、反思学习计划、持续改进，达到学习目标。</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495" w:hRule="atLeast"/>
        </w:trPr>
        <w:tc>
          <w:tcPr>
            <w:tcW w:w="681" w:type="dxa"/>
            <w:tcBorders>
              <w:top w:val="nil"/>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L031</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hint="eastAsia" w:asciiTheme="majorBidi" w:hAnsiTheme="majorBidi" w:cstheme="majorBidi"/>
                <w:color w:val="000000" w:themeColor="text1"/>
                <w:kern w:val="0"/>
                <w:szCs w:val="21"/>
                <w:lang w:val="en-US" w:eastAsia="zh-CN"/>
                <w14:textFill>
                  <w14:solidFill>
                    <w14:schemeClr w14:val="tx1"/>
                  </w14:solidFill>
                </w14:textFill>
              </w:rPr>
              <w:t>传播</w:t>
            </w:r>
            <w:r>
              <w:rPr>
                <w:rFonts w:asciiTheme="majorBidi" w:hAnsiTheme="majorBidi" w:cstheme="majorBidi"/>
                <w:color w:val="000000" w:themeColor="text1"/>
                <w:kern w:val="0"/>
                <w:szCs w:val="21"/>
                <w14:textFill>
                  <w14:solidFill>
                    <w14:schemeClr w14:val="tx1"/>
                  </w14:solidFill>
                </w14:textFill>
              </w:rPr>
              <w:t>理论：掌握</w:t>
            </w:r>
            <w:r>
              <w:rPr>
                <w:rFonts w:hint="eastAsia" w:asciiTheme="majorBidi" w:hAnsiTheme="majorBidi" w:cstheme="majorBidi"/>
                <w:color w:val="000000" w:themeColor="text1"/>
                <w:kern w:val="0"/>
                <w:szCs w:val="21"/>
                <w:lang w:val="en-US" w:eastAsia="zh-CN"/>
                <w14:textFill>
                  <w14:solidFill>
                    <w14:schemeClr w14:val="tx1"/>
                  </w14:solidFill>
                </w14:textFill>
              </w:rPr>
              <w:t>传播</w:t>
            </w:r>
            <w:r>
              <w:rPr>
                <w:rFonts w:asciiTheme="majorBidi" w:hAnsiTheme="majorBidi" w:cstheme="majorBidi"/>
                <w:color w:val="000000" w:themeColor="text1"/>
                <w:kern w:val="0"/>
                <w:szCs w:val="21"/>
                <w14:textFill>
                  <w14:solidFill>
                    <w14:schemeClr w14:val="tx1"/>
                  </w14:solidFill>
                </w14:textFill>
              </w:rPr>
              <w:t>学的核心理论、基本知识。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72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L032</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视频制作：掌握视频内容的策划、拍摄、后期制作，具备传播视觉化信息的基本能力。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64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L033</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文本写作：根据不同传播渠道的规范要求，具备基本的文本写作能力。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25"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L034</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新媒体运营：掌握互联网和移动互联网各类媒体工具的使用，具备新媒体的日常运营能力。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681"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L035</w:t>
            </w:r>
          </w:p>
        </w:tc>
        <w:tc>
          <w:tcPr>
            <w:tcW w:w="669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人文素养：对文学、绘画、影视、音乐、戏剧等文化艺术具有基本的鉴赏能力，体现出媒介内容制作的质量和品位。</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750" w:hRule="atLeast"/>
        </w:trPr>
        <w:tc>
          <w:tcPr>
            <w:tcW w:w="68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L041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LO411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遵纪守法：遵守校纪校规，具备法律意识。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7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LO412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诚实守信：为人诚实，信守承诺，尽职尽责。</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1095"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LO413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540" w:hRule="atLeast"/>
        </w:trPr>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LO414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身心健康，能承受学习和生活中的压力。</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w:t>
            </w: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L051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LO511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在集体活动中能主动担任自己的角色，与其他成员密切合作，共同完成任务。</w:t>
            </w:r>
          </w:p>
        </w:tc>
        <w:tc>
          <w:tcPr>
            <w:tcW w:w="851" w:type="dxa"/>
            <w:tcBorders>
              <w:top w:val="nil"/>
              <w:left w:val="nil"/>
              <w:bottom w:val="single" w:color="auto" w:sz="4" w:space="0"/>
              <w:right w:val="single" w:color="auto" w:sz="4" w:space="0"/>
            </w:tcBorders>
            <w:shd w:val="clear" w:color="auto" w:fill="auto"/>
            <w:vAlign w:val="center"/>
          </w:tcPr>
          <w:p>
            <w:pPr>
              <w:widowControl/>
              <w:ind w:firstLine="105" w:firstLineChars="50"/>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0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LO512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有质疑精神，能有逻辑的分析与批判。</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LO513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能用创新的方法或者多种方法解决复杂问题或真实问题。</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LO514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了解行业前沿知识技术。</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L061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LO611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能够根据需要进行专业文献检索。</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LO612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能够使用适合的工具来搜集信息，并对信息加以分析、鉴别、判断与整合。</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LO613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熟练使用计算机，掌握常用办公软件。</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15"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L071</w:t>
            </w: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LO711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爱党爱国：了解祖国的优秀传统文化和革命历史，构建爱党爱国的理想信念。</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imes New Roman" w:hAnsi="Times New Roman"/>
                <w:color w:val="000000"/>
                <w:kern w:val="0"/>
                <w:szCs w:val="21"/>
              </w:rPr>
              <w:sym w:font="Wingdings 2" w:char="F098"/>
            </w:r>
          </w:p>
        </w:tc>
      </w:tr>
      <w:tr>
        <w:tblPrEx>
          <w:tblCellMar>
            <w:top w:w="0" w:type="dxa"/>
            <w:left w:w="108" w:type="dxa"/>
            <w:bottom w:w="0" w:type="dxa"/>
            <w:right w:w="108" w:type="dxa"/>
          </w:tblCellMar>
        </w:tblPrEx>
        <w:trPr>
          <w:trHeight w:val="63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LO712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助人为乐：富于爱心，懂得感恩，具备助人为乐的品质。</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85"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LO713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奉献社会：具有服务企业、服务社会的意愿和行为能力。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66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LO714</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爱护环境：具有爱护环境的意识和与自然和谐相处的环保理念。</w:t>
            </w:r>
          </w:p>
        </w:tc>
        <w:tc>
          <w:tcPr>
            <w:tcW w:w="851" w:type="dxa"/>
            <w:tcBorders>
              <w:top w:val="nil"/>
              <w:left w:val="nil"/>
              <w:bottom w:val="single" w:color="auto" w:sz="4" w:space="0"/>
              <w:right w:val="single" w:color="auto" w:sz="4" w:space="0"/>
            </w:tcBorders>
            <w:shd w:val="clear" w:color="auto" w:fill="auto"/>
            <w:noWrap/>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L081</w:t>
            </w: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L0811</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具备外语表达沟通能力，达到本专业的要求。</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L0812</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理解其他国家历史文化，有跨文化交流能力。</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40" w:hRule="atLeast"/>
        </w:trPr>
        <w:tc>
          <w:tcPr>
            <w:tcW w:w="68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ajorBidi" w:hAnsiTheme="majorBidi" w:cstheme="majorBidi"/>
                <w:color w:val="000000" w:themeColor="text1"/>
                <w:kern w:val="0"/>
                <w:szCs w:val="21"/>
                <w14:textFill>
                  <w14:solidFill>
                    <w14:schemeClr w14:val="tx1"/>
                  </w14:solidFill>
                </w14:textFill>
              </w:rPr>
            </w:pPr>
          </w:p>
        </w:tc>
        <w:tc>
          <w:tcPr>
            <w:tcW w:w="990" w:type="dxa"/>
            <w:tcBorders>
              <w:top w:val="nil"/>
              <w:left w:val="nil"/>
              <w:bottom w:val="single" w:color="auto" w:sz="4" w:space="0"/>
              <w:right w:val="single" w:color="auto" w:sz="4" w:space="0"/>
            </w:tcBorders>
            <w:shd w:val="clear" w:color="auto" w:fill="auto"/>
            <w:noWrap/>
            <w:vAlign w:val="center"/>
          </w:tcPr>
          <w:p>
            <w:pPr>
              <w:widowControl/>
              <w:jc w:val="center"/>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L0813</w:t>
            </w:r>
          </w:p>
        </w:tc>
        <w:tc>
          <w:tcPr>
            <w:tcW w:w="5700"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有国际竞争与合作意识。</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Theme="majorBidi" w:hAnsiTheme="majorBidi" w:cstheme="majorBidi"/>
                <w:color w:val="000000" w:themeColor="text1"/>
                <w:kern w:val="0"/>
                <w:szCs w:val="21"/>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　</w:t>
            </w:r>
          </w:p>
        </w:tc>
      </w:tr>
    </w:tbl>
    <w:p>
      <w:pPr>
        <w:ind w:firstLine="420" w:firstLineChars="200"/>
        <w:rPr>
          <w:rFonts w:hint="eastAsia"/>
          <w:highlight w:val="none"/>
        </w:rPr>
      </w:pPr>
    </w:p>
    <w:p>
      <w:pPr>
        <w:rPr>
          <w:highlight w:val="none"/>
        </w:rPr>
      </w:pPr>
    </w:p>
    <w:p>
      <w:pPr>
        <w:spacing w:line="360" w:lineRule="auto"/>
        <w:ind w:firstLine="600" w:firstLineChars="250"/>
        <w:rPr>
          <w:sz w:val="20"/>
          <w:szCs w:val="20"/>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p>
      <w:pPr>
        <w:snapToGrid w:val="0"/>
        <w:spacing w:line="288" w:lineRule="auto"/>
        <w:ind w:left="420" w:leftChars="200"/>
        <w:rPr>
          <w:rFonts w:ascii="黑体" w:hAnsi="宋体" w:eastAsia="黑体"/>
          <w:sz w:val="24"/>
          <w:highlight w:val="none"/>
        </w:rPr>
      </w:pPr>
    </w:p>
    <w:tbl>
      <w:tblPr>
        <w:tblStyle w:val="4"/>
        <w:tblpPr w:leftFromText="180" w:rightFromText="180" w:vertAnchor="text" w:horzAnchor="page" w:tblpX="1845" w:tblpY="152"/>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84"/>
        <w:gridCol w:w="2504"/>
        <w:gridCol w:w="223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5" w:type="dxa"/>
            <w:shd w:val="clear" w:color="auto" w:fill="auto"/>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序号</w:t>
            </w:r>
          </w:p>
        </w:tc>
        <w:tc>
          <w:tcPr>
            <w:tcW w:w="1384" w:type="dxa"/>
            <w:shd w:val="clear" w:color="auto" w:fill="auto"/>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课程预期</w:t>
            </w:r>
          </w:p>
          <w:p>
            <w:pPr>
              <w:snapToGrid w:val="0"/>
              <w:spacing w:line="360" w:lineRule="auto"/>
              <w:jc w:val="center"/>
              <w:rPr>
                <w:rFonts w:ascii="Times New Roman" w:hAnsi="Times New Roman"/>
                <w:b/>
                <w:color w:val="000000"/>
                <w:szCs w:val="21"/>
              </w:rPr>
            </w:pPr>
            <w:r>
              <w:rPr>
                <w:rFonts w:ascii="Times New Roman" w:hAnsi="Times New Roman"/>
                <w:b/>
                <w:color w:val="000000"/>
                <w:szCs w:val="21"/>
              </w:rPr>
              <w:t>学习成果</w:t>
            </w:r>
          </w:p>
        </w:tc>
        <w:tc>
          <w:tcPr>
            <w:tcW w:w="2504" w:type="dxa"/>
            <w:shd w:val="clear" w:color="auto" w:fill="auto"/>
            <w:vAlign w:val="center"/>
          </w:tcPr>
          <w:p>
            <w:pPr>
              <w:snapToGrid w:val="0"/>
              <w:spacing w:line="360" w:lineRule="auto"/>
              <w:jc w:val="center"/>
              <w:rPr>
                <w:rFonts w:ascii="Times New Roman" w:hAnsi="Times New Roman"/>
                <w:b/>
                <w:color w:val="000000"/>
                <w:szCs w:val="21"/>
                <w:highlight w:val="yellow"/>
              </w:rPr>
            </w:pPr>
            <w:r>
              <w:rPr>
                <w:rFonts w:ascii="Times New Roman" w:hAnsi="Times New Roman"/>
                <w:b/>
                <w:color w:val="000000"/>
                <w:szCs w:val="21"/>
              </w:rPr>
              <w:t>课程目标</w:t>
            </w:r>
          </w:p>
          <w:p>
            <w:pPr>
              <w:snapToGrid w:val="0"/>
              <w:spacing w:line="360" w:lineRule="auto"/>
              <w:jc w:val="center"/>
              <w:rPr>
                <w:rFonts w:ascii="Times New Roman" w:hAnsi="Times New Roman"/>
                <w:b/>
                <w:color w:val="000000"/>
                <w:szCs w:val="21"/>
              </w:rPr>
            </w:pPr>
            <w:r>
              <w:rPr>
                <w:rFonts w:ascii="Times New Roman" w:hAnsi="Times New Roman"/>
                <w:b/>
                <w:color w:val="000000"/>
                <w:szCs w:val="21"/>
              </w:rPr>
              <w:t>（细化的预期学习成果）</w:t>
            </w:r>
          </w:p>
        </w:tc>
        <w:tc>
          <w:tcPr>
            <w:tcW w:w="2234"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教与学方式</w:t>
            </w:r>
          </w:p>
        </w:tc>
        <w:tc>
          <w:tcPr>
            <w:tcW w:w="1533" w:type="dxa"/>
            <w:shd w:val="clear" w:color="auto" w:fill="auto"/>
            <w:vAlign w:val="center"/>
          </w:tcPr>
          <w:p>
            <w:pPr>
              <w:snapToGrid w:val="0"/>
              <w:spacing w:line="360" w:lineRule="auto"/>
              <w:jc w:val="center"/>
              <w:rPr>
                <w:rFonts w:ascii="Times New Roman" w:hAnsi="Times New Roman"/>
                <w:b/>
                <w:color w:val="000000"/>
                <w:szCs w:val="21"/>
              </w:rPr>
            </w:pPr>
            <w:r>
              <w:rPr>
                <w:rFonts w:ascii="Times New Roman" w:hAnsi="Times New Roman"/>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75" w:type="dxa"/>
            <w:shd w:val="clear" w:color="auto" w:fill="auto"/>
            <w:vAlign w:val="center"/>
          </w:tcPr>
          <w:p>
            <w:pPr>
              <w:widowControl/>
              <w:jc w:val="center"/>
              <w:rPr>
                <w:rFonts w:eastAsia="宋体" w:asciiTheme="majorBidi" w:hAnsiTheme="majorBidi" w:cstheme="majorBidi"/>
                <w:color w:val="000000" w:themeColor="text1"/>
                <w:kern w:val="0"/>
                <w:sz w:val="21"/>
                <w:szCs w:val="21"/>
                <w:lang w:val="en-US" w:eastAsia="zh-CN" w:bidi="ar-SA"/>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L031</w:t>
            </w:r>
          </w:p>
        </w:tc>
        <w:tc>
          <w:tcPr>
            <w:tcW w:w="1384" w:type="dxa"/>
            <w:shd w:val="clear" w:color="auto" w:fill="auto"/>
            <w:vAlign w:val="center"/>
          </w:tcPr>
          <w:p>
            <w:pPr>
              <w:widowControl/>
              <w:jc w:val="left"/>
              <w:rPr>
                <w:rFonts w:eastAsia="宋体" w:asciiTheme="majorBidi" w:hAnsiTheme="majorBidi" w:cstheme="majorBidi"/>
                <w:color w:val="000000" w:themeColor="text1"/>
                <w:kern w:val="0"/>
                <w:sz w:val="21"/>
                <w:szCs w:val="21"/>
                <w:lang w:val="en-US" w:eastAsia="zh-CN" w:bidi="ar-SA"/>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掌握</w:t>
            </w:r>
            <w:r>
              <w:rPr>
                <w:rFonts w:hint="eastAsia" w:asciiTheme="majorBidi" w:hAnsiTheme="majorBidi" w:cstheme="majorBidi"/>
                <w:color w:val="000000" w:themeColor="text1"/>
                <w:kern w:val="0"/>
                <w:szCs w:val="21"/>
                <w:lang w:val="en-US" w:eastAsia="zh-CN"/>
                <w14:textFill>
                  <w14:solidFill>
                    <w14:schemeClr w14:val="tx1"/>
                  </w14:solidFill>
                </w14:textFill>
              </w:rPr>
              <w:t>传播</w:t>
            </w:r>
            <w:r>
              <w:rPr>
                <w:rFonts w:asciiTheme="majorBidi" w:hAnsiTheme="majorBidi" w:cstheme="majorBidi"/>
                <w:color w:val="000000" w:themeColor="text1"/>
                <w:kern w:val="0"/>
                <w:szCs w:val="21"/>
                <w14:textFill>
                  <w14:solidFill>
                    <w14:schemeClr w14:val="tx1"/>
                  </w14:solidFill>
                </w14:textFill>
              </w:rPr>
              <w:t>学的核心理论、基本知识。</w:t>
            </w:r>
          </w:p>
        </w:tc>
        <w:tc>
          <w:tcPr>
            <w:tcW w:w="2504" w:type="dxa"/>
            <w:shd w:val="clear" w:color="auto" w:fill="auto"/>
          </w:tcPr>
          <w:p>
            <w:pPr>
              <w:spacing w:line="360" w:lineRule="auto"/>
              <w:jc w:val="left"/>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在先修课程基础上进一步巩固传播学基本知识点、理解重要概念和理论、对行业前沿的新概念和新理论有一定了解</w:t>
            </w:r>
          </w:p>
        </w:tc>
        <w:tc>
          <w:tcPr>
            <w:tcW w:w="2234"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关心时事新闻动态、养成读报习惯，关注专业学术期刊、报纸新闻评论，组织学生利用上述材料进行课堂分析和讨论。</w:t>
            </w:r>
          </w:p>
        </w:tc>
        <w:tc>
          <w:tcPr>
            <w:tcW w:w="1533"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课堂练习：阅读相关材料、讨论回答问题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675" w:type="dxa"/>
            <w:shd w:val="clear" w:color="auto" w:fill="auto"/>
            <w:vAlign w:val="center"/>
          </w:tcPr>
          <w:p>
            <w:pPr>
              <w:widowControl/>
              <w:jc w:val="center"/>
              <w:rPr>
                <w:rFonts w:eastAsia="宋体" w:asciiTheme="majorBidi" w:hAnsiTheme="majorBidi" w:cstheme="majorBidi"/>
                <w:color w:val="000000" w:themeColor="text1"/>
                <w:kern w:val="0"/>
                <w:sz w:val="21"/>
                <w:szCs w:val="21"/>
                <w:lang w:val="en-US" w:eastAsia="zh-CN" w:bidi="ar-SA"/>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LO413</w:t>
            </w:r>
          </w:p>
        </w:tc>
        <w:tc>
          <w:tcPr>
            <w:tcW w:w="1384" w:type="dxa"/>
            <w:shd w:val="clear" w:color="auto" w:fill="auto"/>
            <w:vAlign w:val="center"/>
          </w:tcPr>
          <w:p>
            <w:pPr>
              <w:widowControl/>
              <w:jc w:val="left"/>
              <w:rPr>
                <w:rFonts w:eastAsia="宋体" w:asciiTheme="majorBidi" w:hAnsiTheme="majorBidi" w:cstheme="majorBidi"/>
                <w:color w:val="000000" w:themeColor="text1"/>
                <w:kern w:val="0"/>
                <w:sz w:val="21"/>
                <w:szCs w:val="21"/>
                <w:lang w:val="en-US" w:eastAsia="zh-CN" w:bidi="ar-SA"/>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爱岗敬业：了解与专业相关的法律法规，认识本专业就业岗位，遵守职业规范，具备职业道德操守。</w:t>
            </w:r>
          </w:p>
        </w:tc>
        <w:tc>
          <w:tcPr>
            <w:tcW w:w="2504" w:type="dxa"/>
            <w:shd w:val="clear" w:color="auto" w:fill="auto"/>
          </w:tcPr>
          <w:p>
            <w:pPr>
              <w:spacing w:line="360" w:lineRule="auto"/>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了解新闻传播行业发展的现状以及未来发展趋势，在社会经济中的作用与地位。结合自身情况对未来就业建立初步规划。</w:t>
            </w:r>
          </w:p>
        </w:tc>
        <w:tc>
          <w:tcPr>
            <w:tcW w:w="2234"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在课堂教学中，充分运用案例教学法，向学生介绍新闻传播人的社会地位和贡献，潜移默化地帮助学生建立就业规划</w:t>
            </w:r>
          </w:p>
        </w:tc>
        <w:tc>
          <w:tcPr>
            <w:tcW w:w="1533"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课堂练习：阅读相关材料、讨论回答问题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shd w:val="clear" w:color="auto" w:fill="auto"/>
            <w:vAlign w:val="center"/>
          </w:tcPr>
          <w:p>
            <w:pPr>
              <w:widowControl/>
              <w:jc w:val="center"/>
              <w:rPr>
                <w:rFonts w:eastAsia="宋体" w:asciiTheme="majorBidi" w:hAnsiTheme="majorBidi" w:cstheme="majorBidi"/>
                <w:color w:val="000000" w:themeColor="text1"/>
                <w:kern w:val="0"/>
                <w:sz w:val="21"/>
                <w:szCs w:val="21"/>
                <w:lang w:val="en-US" w:eastAsia="zh-CN" w:bidi="ar-SA"/>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LO514</w:t>
            </w:r>
          </w:p>
        </w:tc>
        <w:tc>
          <w:tcPr>
            <w:tcW w:w="1384" w:type="dxa"/>
            <w:shd w:val="clear" w:color="auto" w:fill="auto"/>
            <w:vAlign w:val="center"/>
          </w:tcPr>
          <w:p>
            <w:pPr>
              <w:widowControl/>
              <w:jc w:val="left"/>
              <w:rPr>
                <w:rFonts w:eastAsia="宋体" w:asciiTheme="majorBidi" w:hAnsiTheme="majorBidi" w:cstheme="majorBidi"/>
                <w:color w:val="000000" w:themeColor="text1"/>
                <w:kern w:val="0"/>
                <w:sz w:val="21"/>
                <w:szCs w:val="21"/>
                <w:lang w:val="en-US" w:eastAsia="zh-CN" w:bidi="ar-SA"/>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了解行业前沿知识技术。</w:t>
            </w:r>
          </w:p>
        </w:tc>
        <w:tc>
          <w:tcPr>
            <w:tcW w:w="2504" w:type="dxa"/>
            <w:shd w:val="clear" w:color="auto" w:fill="auto"/>
          </w:tcPr>
          <w:p>
            <w:pPr>
              <w:spacing w:line="360" w:lineRule="auto"/>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了解新闻传播行业最新的技术成果、了解媒体行业的转型改革成果与存在的问题，了解新闻传播学术界对业界实践的最新理论研究成果</w:t>
            </w:r>
          </w:p>
        </w:tc>
        <w:tc>
          <w:tcPr>
            <w:tcW w:w="2234"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介绍行业前沿是本课程的首要教学目标，可运用多种教学方法，如案例教学；也可设计翻转课堂，让学生组成团队，针对行业前沿的某个问题自行收集资料、进行研究和课堂展示。</w:t>
            </w:r>
          </w:p>
        </w:tc>
        <w:tc>
          <w:tcPr>
            <w:tcW w:w="1533"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小组作业：前沿问题的研究与课堂展示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shd w:val="clear" w:color="auto" w:fill="auto"/>
            <w:vAlign w:val="center"/>
          </w:tcPr>
          <w:p>
            <w:pPr>
              <w:widowControl/>
              <w:jc w:val="center"/>
              <w:rPr>
                <w:rFonts w:eastAsia="宋体" w:asciiTheme="majorBidi" w:hAnsiTheme="majorBidi" w:cstheme="majorBidi"/>
                <w:color w:val="000000" w:themeColor="text1"/>
                <w:kern w:val="0"/>
                <w:sz w:val="21"/>
                <w:szCs w:val="21"/>
                <w:lang w:val="en-US" w:eastAsia="zh-CN" w:bidi="ar-SA"/>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LO711</w:t>
            </w:r>
          </w:p>
        </w:tc>
        <w:tc>
          <w:tcPr>
            <w:tcW w:w="1384" w:type="dxa"/>
            <w:shd w:val="clear" w:color="auto" w:fill="auto"/>
            <w:vAlign w:val="center"/>
          </w:tcPr>
          <w:p>
            <w:pPr>
              <w:widowControl/>
              <w:jc w:val="left"/>
              <w:rPr>
                <w:rFonts w:eastAsia="宋体" w:asciiTheme="majorBidi" w:hAnsiTheme="majorBidi" w:cstheme="majorBidi"/>
                <w:color w:val="000000" w:themeColor="text1"/>
                <w:kern w:val="0"/>
                <w:sz w:val="21"/>
                <w:szCs w:val="21"/>
                <w:lang w:val="en-US" w:eastAsia="zh-CN" w:bidi="ar-SA"/>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爱党爱国：了解祖国的优秀传统文化和革命历史，构建爱党爱国的理想信念。</w:t>
            </w:r>
          </w:p>
        </w:tc>
        <w:tc>
          <w:tcPr>
            <w:tcW w:w="2504" w:type="dxa"/>
            <w:shd w:val="clear" w:color="auto" w:fill="auto"/>
          </w:tcPr>
          <w:p>
            <w:pPr>
              <w:spacing w:line="360" w:lineRule="auto"/>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将本指标点与课程思政内容点结合，融入课堂设计。在当前复杂的国际形势背景下，教育学生作为新闻人，应该遵守我国的新闻政策，在新闻报道和评论中体现过硬的政治素质，运用客观事实据理力争，正确地引导舆论</w:t>
            </w:r>
          </w:p>
        </w:tc>
        <w:tc>
          <w:tcPr>
            <w:tcW w:w="2234"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当前国际形势复杂，以美国为首的西方国家部分政客对中国极尽挑衅，西方媒体的报道中也多有颠倒黑白、歧视华人、挑衅中国的情况。可将这些案例与学生一同研究分析，明辨是非，加强思政教育</w:t>
            </w:r>
          </w:p>
        </w:tc>
        <w:tc>
          <w:tcPr>
            <w:tcW w:w="1533"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小组作业：前沿问题的研究与课堂展示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675" w:type="dxa"/>
            <w:shd w:val="clear" w:color="auto" w:fill="auto"/>
            <w:vAlign w:val="center"/>
          </w:tcPr>
          <w:p>
            <w:pPr>
              <w:widowControl/>
              <w:jc w:val="center"/>
              <w:rPr>
                <w:rFonts w:eastAsia="宋体" w:asciiTheme="majorBidi" w:hAnsiTheme="majorBidi" w:cstheme="majorBidi"/>
                <w:color w:val="000000" w:themeColor="text1"/>
                <w:kern w:val="0"/>
                <w:sz w:val="21"/>
                <w:szCs w:val="21"/>
                <w:lang w:val="en-US" w:eastAsia="zh-CN" w:bidi="ar-SA"/>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LO612</w:t>
            </w:r>
          </w:p>
        </w:tc>
        <w:tc>
          <w:tcPr>
            <w:tcW w:w="1384" w:type="dxa"/>
            <w:shd w:val="clear" w:color="auto" w:fill="auto"/>
            <w:vAlign w:val="center"/>
          </w:tcPr>
          <w:p>
            <w:pPr>
              <w:widowControl/>
              <w:jc w:val="left"/>
              <w:rPr>
                <w:rFonts w:eastAsia="宋体" w:asciiTheme="majorBidi" w:hAnsiTheme="majorBidi" w:cstheme="majorBidi"/>
                <w:color w:val="000000" w:themeColor="text1"/>
                <w:kern w:val="0"/>
                <w:sz w:val="21"/>
                <w:szCs w:val="21"/>
                <w:lang w:val="en-US" w:eastAsia="zh-CN" w:bidi="ar-SA"/>
                <w14:textFill>
                  <w14:solidFill>
                    <w14:schemeClr w14:val="tx1"/>
                  </w14:solidFill>
                </w14:textFill>
              </w:rPr>
            </w:pPr>
            <w:r>
              <w:rPr>
                <w:rFonts w:asciiTheme="majorBidi" w:hAnsiTheme="majorBidi" w:cstheme="majorBidi"/>
                <w:color w:val="000000" w:themeColor="text1"/>
                <w:kern w:val="0"/>
                <w:szCs w:val="21"/>
                <w14:textFill>
                  <w14:solidFill>
                    <w14:schemeClr w14:val="tx1"/>
                  </w14:solidFill>
                </w14:textFill>
              </w:rPr>
              <w:t>能够使用适合的工具来搜集信息，并对信息加以分析、鉴别、判断与整合。</w:t>
            </w:r>
          </w:p>
        </w:tc>
        <w:tc>
          <w:tcPr>
            <w:tcW w:w="2504" w:type="dxa"/>
            <w:shd w:val="clear" w:color="auto" w:fill="auto"/>
          </w:tcPr>
          <w:p>
            <w:pPr>
              <w:spacing w:line="360" w:lineRule="auto"/>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引导高年级学生掌握专业文献查阅、搜索、整理和分析信息的能力。为撰写毕业论文打好基础。</w:t>
            </w:r>
          </w:p>
        </w:tc>
        <w:tc>
          <w:tcPr>
            <w:tcW w:w="2234"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通过课堂讲解、案例教学、讨论等方法，指导学生掌握核心期刊、图书馆电子资源、专业公众号等学术资源的查阅方法；掌握文献的整理方法和综述的写作。</w:t>
            </w:r>
          </w:p>
        </w:tc>
        <w:tc>
          <w:tcPr>
            <w:tcW w:w="1533" w:type="dxa"/>
            <w:shd w:val="clear" w:color="auto" w:fill="auto"/>
          </w:tcPr>
          <w:p>
            <w:pPr>
              <w:snapToGrid w:val="0"/>
              <w:spacing w:line="360" w:lineRule="auto"/>
              <w:jc w:val="left"/>
              <w:rPr>
                <w:rFonts w:hint="default" w:ascii="Times New Roman" w:hAnsi="Times New Roman" w:eastAsia="宋体"/>
                <w:szCs w:val="21"/>
                <w:lang w:val="en-US" w:eastAsia="zh-CN"/>
              </w:rPr>
            </w:pPr>
            <w:r>
              <w:rPr>
                <w:rFonts w:hint="eastAsia" w:ascii="Times New Roman" w:hAnsi="Times New Roman"/>
                <w:szCs w:val="21"/>
                <w:lang w:val="en-US" w:eastAsia="zh-CN"/>
              </w:rPr>
              <w:t>个人大作业：文献综述练习（3000字以上）</w:t>
            </w:r>
          </w:p>
        </w:tc>
      </w:tr>
    </w:tbl>
    <w:p>
      <w:pPr>
        <w:snapToGrid w:val="0"/>
        <w:spacing w:line="288" w:lineRule="auto"/>
        <w:ind w:left="420" w:leftChars="200"/>
        <w:rPr>
          <w:rFonts w:ascii="黑体" w:hAnsi="宋体" w:eastAsia="黑体"/>
          <w:sz w:val="24"/>
          <w:highlight w:val="none"/>
        </w:rPr>
      </w:pPr>
    </w:p>
    <w:p>
      <w:pPr>
        <w:snapToGrid w:val="0"/>
        <w:spacing w:line="288" w:lineRule="auto"/>
        <w:ind w:left="420" w:leftChars="200"/>
        <w:rPr>
          <w:rFonts w:ascii="黑体" w:hAnsi="宋体" w:eastAsia="黑体"/>
          <w:sz w:val="24"/>
          <w:highlight w:val="none"/>
        </w:rPr>
      </w:pPr>
    </w:p>
    <w:p>
      <w:pPr>
        <w:snapToGrid w:val="0"/>
        <w:spacing w:line="288" w:lineRule="auto"/>
        <w:ind w:left="420" w:leftChars="200"/>
        <w:rPr>
          <w:rFonts w:ascii="黑体" w:hAnsi="宋体" w:eastAsia="黑体"/>
          <w:sz w:val="24"/>
          <w:highlight w:val="none"/>
        </w:rPr>
      </w:pPr>
    </w:p>
    <w:p>
      <w:pPr>
        <w:snapToGrid w:val="0"/>
        <w:spacing w:line="288" w:lineRule="auto"/>
        <w:ind w:left="420" w:leftChars="200"/>
        <w:rPr>
          <w:rFonts w:ascii="黑体" w:hAnsi="宋体" w:eastAsia="黑体"/>
          <w:sz w:val="24"/>
          <w:highlight w:val="none"/>
        </w:rPr>
      </w:pPr>
    </w:p>
    <w:p>
      <w:pPr>
        <w:snapToGrid w:val="0"/>
        <w:spacing w:line="288" w:lineRule="auto"/>
        <w:ind w:left="420" w:leftChars="200"/>
        <w:rPr>
          <w:rFonts w:ascii="黑体" w:hAnsi="宋体" w:eastAsia="黑体"/>
          <w:sz w:val="24"/>
          <w:highlight w:val="none"/>
        </w:rPr>
      </w:pPr>
    </w:p>
    <w:p>
      <w:pPr>
        <w:widowControl/>
        <w:spacing w:beforeLines="50" w:afterLines="50" w:line="288" w:lineRule="auto"/>
        <w:ind w:firstLine="360" w:firstLineChars="150"/>
        <w:jc w:val="left"/>
        <w:rPr>
          <w:rFonts w:hint="eastAsia" w:ascii="宋体" w:hAnsi="宋体"/>
          <w:b/>
          <w:bCs/>
          <w:sz w:val="20"/>
          <w:szCs w:val="20"/>
          <w:highlight w:val="none"/>
          <w:lang w:eastAsia="zh-CN"/>
        </w:rPr>
      </w:pPr>
      <w:r>
        <w:rPr>
          <w:rFonts w:hint="eastAsia" w:ascii="黑体" w:hAnsi="宋体" w:eastAsia="黑体"/>
          <w:sz w:val="24"/>
          <w:highlight w:val="none"/>
        </w:rPr>
        <w:t>六、</w:t>
      </w:r>
      <w:r>
        <w:rPr>
          <w:rFonts w:ascii="黑体" w:hAnsi="宋体" w:eastAsia="黑体"/>
          <w:sz w:val="24"/>
          <w:highlight w:val="none"/>
        </w:rPr>
        <w:t>课程内容</w:t>
      </w:r>
    </w:p>
    <w:p>
      <w:pPr>
        <w:snapToGrid w:val="0"/>
        <w:spacing w:line="288" w:lineRule="auto"/>
        <w:ind w:firstLine="402" w:firstLineChars="200"/>
        <w:rPr>
          <w:rFonts w:hint="eastAsia" w:ascii="宋体" w:hAnsi="宋体"/>
          <w:b/>
          <w:bCs/>
          <w:sz w:val="20"/>
          <w:szCs w:val="20"/>
          <w:highlight w:val="none"/>
          <w:lang w:eastAsia="zh-CN"/>
        </w:rPr>
      </w:pPr>
    </w:p>
    <w:p>
      <w:pPr>
        <w:snapToGrid w:val="0"/>
        <w:spacing w:line="288" w:lineRule="auto"/>
        <w:ind w:firstLine="402" w:firstLineChars="200"/>
        <w:rPr>
          <w:rFonts w:hint="default" w:ascii="宋体" w:hAnsi="宋体"/>
          <w:b/>
          <w:bCs/>
          <w:sz w:val="20"/>
          <w:szCs w:val="20"/>
          <w:highlight w:val="none"/>
          <w:lang w:val="en-US" w:eastAsia="zh-CN"/>
        </w:rPr>
      </w:pPr>
      <w:r>
        <w:rPr>
          <w:rFonts w:hint="eastAsia" w:ascii="宋体" w:hAnsi="宋体"/>
          <w:b/>
          <w:bCs/>
          <w:sz w:val="20"/>
          <w:szCs w:val="20"/>
          <w:highlight w:val="none"/>
          <w:lang w:val="en-US" w:eastAsia="zh-CN"/>
        </w:rPr>
        <w:t>导论  理论课时：2课时</w:t>
      </w:r>
    </w:p>
    <w:p>
      <w:pPr>
        <w:snapToGrid w:val="0"/>
        <w:spacing w:line="288" w:lineRule="auto"/>
        <w:ind w:firstLine="402" w:firstLineChars="200"/>
        <w:rPr>
          <w:rFonts w:hint="eastAsia" w:ascii="宋体" w:hAnsi="宋体"/>
          <w:b/>
          <w:bCs/>
          <w:sz w:val="20"/>
          <w:szCs w:val="20"/>
          <w:highlight w:val="none"/>
          <w:lang w:val="en-US" w:eastAsia="zh-CN"/>
        </w:rPr>
      </w:pPr>
    </w:p>
    <w:p>
      <w:pPr>
        <w:snapToGrid w:val="0"/>
        <w:spacing w:line="288" w:lineRule="auto"/>
        <w:ind w:firstLine="402" w:firstLineChars="200"/>
        <w:rPr>
          <w:rFonts w:hint="eastAsia" w:ascii="宋体" w:hAnsi="宋体"/>
          <w:b/>
          <w:bCs/>
          <w:sz w:val="20"/>
          <w:szCs w:val="20"/>
          <w:highlight w:val="none"/>
          <w:lang w:val="en-US" w:eastAsia="zh-CN"/>
        </w:rPr>
      </w:pPr>
      <w:r>
        <w:rPr>
          <w:rFonts w:hint="eastAsia" w:ascii="宋体" w:hAnsi="宋体"/>
          <w:b/>
          <w:bCs/>
          <w:sz w:val="20"/>
          <w:szCs w:val="20"/>
          <w:highlight w:val="none"/>
          <w:lang w:val="en-US" w:eastAsia="zh-CN"/>
        </w:rPr>
        <w:t>0-1  新闻传播行业的现状与发展趋势</w:t>
      </w:r>
    </w:p>
    <w:p>
      <w:pPr>
        <w:snapToGrid w:val="0"/>
        <w:spacing w:line="288" w:lineRule="auto"/>
        <w:ind w:firstLine="402" w:firstLineChars="200"/>
        <w:rPr>
          <w:rFonts w:hint="eastAsia" w:ascii="宋体" w:hAnsi="宋体"/>
          <w:b w:val="0"/>
          <w:bCs w:val="0"/>
          <w:sz w:val="20"/>
          <w:szCs w:val="20"/>
          <w:highlight w:val="none"/>
          <w:lang w:val="en-US" w:eastAsia="zh-CN"/>
        </w:rPr>
      </w:pPr>
      <w:r>
        <w:rPr>
          <w:rFonts w:hint="eastAsia" w:ascii="宋体" w:hAnsi="宋体"/>
          <w:b/>
          <w:bCs/>
          <w:sz w:val="20"/>
          <w:szCs w:val="20"/>
          <w:highlight w:val="none"/>
          <w:lang w:val="en-US" w:eastAsia="zh-CN"/>
        </w:rPr>
        <w:t>0-1-1 自媒体、融媒体、多媒体：</w:t>
      </w:r>
      <w:r>
        <w:rPr>
          <w:rFonts w:hint="eastAsia" w:ascii="宋体" w:hAnsi="宋体"/>
          <w:b w:val="0"/>
          <w:bCs w:val="0"/>
          <w:sz w:val="20"/>
          <w:szCs w:val="20"/>
          <w:highlight w:val="none"/>
          <w:lang w:val="en-US" w:eastAsia="zh-CN"/>
        </w:rPr>
        <w:t>知道互联网大发展的背景下，新闻传播行业的格局变化、现状与未来发展趋势；结合学术期刊的前沿文章，理解自媒体的特征、优势、对新闻业的影响、当前存在的问题；结合新闻业内的近期案例，理解传统媒体在转型期间实施的改革措施、收效和局限，比较媒体转型案例的成与败、分析数字媒介实践中的一些典型经验。</w:t>
      </w:r>
    </w:p>
    <w:p>
      <w:pPr>
        <w:snapToGrid w:val="0"/>
        <w:spacing w:line="288" w:lineRule="auto"/>
        <w:ind w:firstLine="402" w:firstLineChars="200"/>
        <w:rPr>
          <w:rFonts w:hint="eastAsia" w:ascii="宋体" w:hAnsi="宋体"/>
          <w:b w:val="0"/>
          <w:bCs w:val="0"/>
          <w:sz w:val="20"/>
          <w:szCs w:val="20"/>
          <w:highlight w:val="none"/>
          <w:lang w:val="en-US" w:eastAsia="zh-CN"/>
        </w:rPr>
      </w:pPr>
      <w:r>
        <w:rPr>
          <w:rFonts w:hint="eastAsia" w:ascii="宋体" w:hAnsi="宋体"/>
          <w:b/>
          <w:bCs/>
          <w:sz w:val="20"/>
          <w:szCs w:val="20"/>
          <w:highlight w:val="none"/>
          <w:lang w:val="en-US" w:eastAsia="zh-CN"/>
        </w:rPr>
        <w:t>0-1-2 如何了解媒体行业的前沿信息：</w:t>
      </w:r>
      <w:r>
        <w:rPr>
          <w:rFonts w:hint="eastAsia" w:ascii="宋体" w:hAnsi="宋体"/>
          <w:b w:val="0"/>
          <w:bCs w:val="0"/>
          <w:sz w:val="20"/>
          <w:szCs w:val="20"/>
          <w:highlight w:val="none"/>
          <w:lang w:val="en-US" w:eastAsia="zh-CN"/>
        </w:rPr>
        <w:t>向学生介绍新闻传播学的重要学术资源：核心期刊（CSSCI）、电子报、外文书籍、经典公众号；学生需掌握电子资源的正确搜索方法，关注时事新闻、关心新闻传播行业的学术发展最新情况</w:t>
      </w:r>
    </w:p>
    <w:p>
      <w:pPr>
        <w:snapToGrid w:val="0"/>
        <w:spacing w:line="288" w:lineRule="auto"/>
        <w:ind w:firstLine="402" w:firstLineChars="200"/>
        <w:rPr>
          <w:rFonts w:hint="eastAsia" w:ascii="宋体" w:hAnsi="宋体"/>
          <w:b/>
          <w:bCs/>
          <w:sz w:val="20"/>
          <w:szCs w:val="20"/>
          <w:highlight w:val="none"/>
          <w:lang w:val="en-US" w:eastAsia="zh-CN"/>
        </w:rPr>
      </w:pPr>
      <w:r>
        <w:rPr>
          <w:rFonts w:hint="eastAsia" w:ascii="宋体" w:hAnsi="宋体"/>
          <w:b/>
          <w:bCs/>
          <w:sz w:val="20"/>
          <w:szCs w:val="20"/>
          <w:highlight w:val="none"/>
          <w:lang w:val="en-US" w:eastAsia="zh-CN"/>
        </w:rPr>
        <w:t>0-1-3 本课程的要求与考核方式</w:t>
      </w:r>
    </w:p>
    <w:p>
      <w:pPr>
        <w:snapToGrid w:val="0"/>
        <w:spacing w:line="288" w:lineRule="auto"/>
        <w:ind w:firstLine="402" w:firstLineChars="200"/>
        <w:rPr>
          <w:rFonts w:hint="eastAsia" w:ascii="宋体" w:hAnsi="宋体"/>
          <w:b/>
          <w:bCs/>
          <w:sz w:val="20"/>
          <w:szCs w:val="20"/>
          <w:highlight w:val="none"/>
          <w:lang w:val="en-US" w:eastAsia="zh-CN"/>
        </w:rPr>
      </w:pPr>
    </w:p>
    <w:p>
      <w:pPr>
        <w:numPr>
          <w:ilvl w:val="0"/>
          <w:numId w:val="1"/>
        </w:numPr>
        <w:snapToGrid w:val="0"/>
        <w:spacing w:line="288" w:lineRule="auto"/>
        <w:ind w:firstLine="402" w:firstLineChars="200"/>
        <w:rPr>
          <w:rFonts w:hint="eastAsia" w:ascii="宋体" w:hAnsi="宋体"/>
          <w:b/>
          <w:bCs/>
          <w:sz w:val="20"/>
          <w:szCs w:val="20"/>
          <w:highlight w:val="none"/>
          <w:lang w:val="en-US" w:eastAsia="zh-CN"/>
        </w:rPr>
      </w:pPr>
      <w:r>
        <w:rPr>
          <w:rFonts w:hint="eastAsia" w:ascii="宋体" w:hAnsi="宋体"/>
          <w:b/>
          <w:bCs/>
          <w:sz w:val="20"/>
          <w:szCs w:val="20"/>
          <w:highlight w:val="none"/>
          <w:lang w:val="en-US" w:eastAsia="zh-CN"/>
        </w:rPr>
        <w:t xml:space="preserve"> 融媒体  4课时</w:t>
      </w:r>
    </w:p>
    <w:p>
      <w:pPr>
        <w:numPr>
          <w:ilvl w:val="0"/>
          <w:numId w:val="0"/>
        </w:numPr>
        <w:snapToGrid w:val="0"/>
        <w:spacing w:line="288" w:lineRule="auto"/>
        <w:rPr>
          <w:rFonts w:hint="eastAsia" w:ascii="宋体" w:hAnsi="宋体"/>
          <w:b/>
          <w:bCs/>
          <w:sz w:val="20"/>
          <w:szCs w:val="20"/>
          <w:highlight w:val="none"/>
          <w:lang w:val="en-US" w:eastAsia="zh-CN"/>
        </w:rPr>
      </w:pPr>
    </w:p>
    <w:p>
      <w:pPr>
        <w:numPr>
          <w:ilvl w:val="0"/>
          <w:numId w:val="0"/>
        </w:numPr>
        <w:snapToGrid w:val="0"/>
        <w:spacing w:line="288" w:lineRule="auto"/>
        <w:rPr>
          <w:rFonts w:hint="default" w:ascii="宋体" w:hAnsi="宋体"/>
          <w:b/>
          <w:bCs/>
          <w:sz w:val="20"/>
          <w:szCs w:val="20"/>
          <w:highlight w:val="none"/>
          <w:lang w:val="en-US" w:eastAsia="zh-CN"/>
        </w:rPr>
      </w:pPr>
      <w:r>
        <w:rPr>
          <w:rFonts w:hint="eastAsia" w:ascii="宋体" w:hAnsi="宋体"/>
          <w:b/>
          <w:bCs/>
          <w:sz w:val="20"/>
          <w:szCs w:val="20"/>
          <w:highlight w:val="none"/>
          <w:lang w:val="en-US" w:eastAsia="zh-CN"/>
        </w:rPr>
        <w:t>本讲聚焦当前传媒业的热点话题：媒介融合，结合当前国际传媒行业的形势、分析国内外典型的传媒改革案例，帮助学生理解融媒体的本质，融媒体时代内容生产的特征、融媒体时代受众的需求、以及融媒体时代对传媒人的专业能力与素养的要求</w:t>
      </w:r>
    </w:p>
    <w:p>
      <w:pPr>
        <w:numPr>
          <w:ilvl w:val="0"/>
          <w:numId w:val="0"/>
        </w:numPr>
        <w:snapToGrid w:val="0"/>
        <w:spacing w:line="288" w:lineRule="auto"/>
        <w:rPr>
          <w:rFonts w:hint="eastAsia" w:ascii="宋体" w:hAnsi="宋体"/>
          <w:b/>
          <w:bCs/>
          <w:sz w:val="20"/>
          <w:szCs w:val="20"/>
          <w:highlight w:val="none"/>
          <w:lang w:val="en-US" w:eastAsia="zh-CN"/>
        </w:rPr>
      </w:pPr>
      <w:r>
        <w:rPr>
          <w:rFonts w:hint="eastAsia" w:ascii="宋体" w:hAnsi="宋体"/>
          <w:b/>
          <w:bCs/>
          <w:sz w:val="20"/>
          <w:szCs w:val="20"/>
          <w:highlight w:val="none"/>
          <w:lang w:val="en-US" w:eastAsia="zh-CN"/>
        </w:rPr>
        <w:t xml:space="preserve">    </w:t>
      </w:r>
    </w:p>
    <w:p>
      <w:pPr>
        <w:numPr>
          <w:ilvl w:val="0"/>
          <w:numId w:val="0"/>
        </w:numPr>
        <w:snapToGrid w:val="0"/>
        <w:spacing w:line="288" w:lineRule="auto"/>
        <w:rPr>
          <w:rFonts w:hint="default" w:ascii="宋体" w:hAnsi="宋体"/>
          <w:b/>
          <w:bCs/>
          <w:sz w:val="20"/>
          <w:szCs w:val="20"/>
          <w:highlight w:val="none"/>
          <w:lang w:val="en-US" w:eastAsia="zh-CN"/>
        </w:rPr>
      </w:pPr>
      <w:r>
        <w:rPr>
          <w:rFonts w:hint="eastAsia" w:ascii="宋体" w:hAnsi="宋体"/>
          <w:b/>
          <w:bCs/>
          <w:sz w:val="20"/>
          <w:szCs w:val="20"/>
          <w:highlight w:val="none"/>
          <w:lang w:val="en-US" w:eastAsia="zh-CN"/>
        </w:rPr>
        <w:t>1-1-1  “融媒体”的含义与本质</w:t>
      </w:r>
    </w:p>
    <w:p>
      <w:pPr>
        <w:numPr>
          <w:ilvl w:val="0"/>
          <w:numId w:val="0"/>
        </w:num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知识点：从“媒介融合”到“融媒体”，概念的变迁；媒介转型：传统媒体为了迎接互联网挑战进行了哪些改革，成败如何；分析“中央厨房”的案例；</w:t>
      </w:r>
    </w:p>
    <w:p>
      <w:pPr>
        <w:numPr>
          <w:ilvl w:val="0"/>
          <w:numId w:val="0"/>
        </w:numPr>
        <w:snapToGrid w:val="0"/>
        <w:spacing w:line="288" w:lineRule="auto"/>
        <w:rPr>
          <w:rFonts w:hint="eastAsia" w:ascii="宋体" w:hAnsi="宋体"/>
          <w:b w:val="0"/>
          <w:bCs w:val="0"/>
          <w:sz w:val="20"/>
          <w:szCs w:val="20"/>
          <w:highlight w:val="none"/>
          <w:lang w:val="en-US" w:eastAsia="zh-CN"/>
        </w:rPr>
      </w:pPr>
    </w:p>
    <w:p>
      <w:pPr>
        <w:numPr>
          <w:ilvl w:val="0"/>
          <w:numId w:val="0"/>
        </w:num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重点与难点：理解融媒体的本质：不同媒体之间的交叉融合、受众群体的融合、内容表达和创作方式的融合、媒体与产业领域的融合</w:t>
      </w:r>
    </w:p>
    <w:p>
      <w:pPr>
        <w:numPr>
          <w:ilvl w:val="0"/>
          <w:numId w:val="0"/>
        </w:numPr>
        <w:snapToGrid w:val="0"/>
        <w:spacing w:line="288" w:lineRule="auto"/>
        <w:rPr>
          <w:rFonts w:hint="eastAsia" w:ascii="宋体" w:hAnsi="宋体"/>
          <w:b w:val="0"/>
          <w:bCs w:val="0"/>
          <w:sz w:val="20"/>
          <w:szCs w:val="20"/>
          <w:highlight w:val="none"/>
          <w:lang w:val="en-US" w:eastAsia="zh-CN"/>
        </w:rPr>
      </w:pPr>
    </w:p>
    <w:p>
      <w:pPr>
        <w:numPr>
          <w:ilvl w:val="0"/>
          <w:numId w:val="0"/>
        </w:numPr>
        <w:snapToGrid w:val="0"/>
        <w:spacing w:line="288" w:lineRule="auto"/>
        <w:rPr>
          <w:rFonts w:hint="eastAsia" w:ascii="宋体" w:hAnsi="宋体"/>
          <w:b/>
          <w:bCs/>
          <w:sz w:val="20"/>
          <w:szCs w:val="20"/>
          <w:highlight w:val="none"/>
          <w:lang w:val="en-US" w:eastAsia="zh-CN"/>
        </w:rPr>
      </w:pPr>
      <w:r>
        <w:rPr>
          <w:rFonts w:hint="eastAsia" w:ascii="宋体" w:hAnsi="宋体"/>
          <w:b/>
          <w:bCs/>
          <w:sz w:val="20"/>
          <w:szCs w:val="20"/>
          <w:highlight w:val="none"/>
          <w:lang w:val="en-US" w:eastAsia="zh-CN"/>
        </w:rPr>
        <w:t>1-1-2 “融媒体”时代传媒人的专业能力与素养</w:t>
      </w:r>
    </w:p>
    <w:p>
      <w:pPr>
        <w:numPr>
          <w:ilvl w:val="0"/>
          <w:numId w:val="0"/>
        </w:numPr>
        <w:snapToGrid w:val="0"/>
        <w:spacing w:line="288" w:lineRule="auto"/>
        <w:rPr>
          <w:rFonts w:hint="eastAsia" w:ascii="宋体" w:hAnsi="宋体"/>
          <w:b w:val="0"/>
          <w:bCs w:val="0"/>
          <w:sz w:val="20"/>
          <w:szCs w:val="20"/>
          <w:highlight w:val="none"/>
          <w:lang w:val="en-US" w:eastAsia="zh-CN"/>
        </w:rPr>
      </w:pPr>
    </w:p>
    <w:p>
      <w:pPr>
        <w:numPr>
          <w:ilvl w:val="0"/>
          <w:numId w:val="0"/>
        </w:num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思考与讨论：为了适应传媒业的剧变，“融媒体”时代的传媒人需要具备哪些专业能力与素养？</w:t>
      </w:r>
    </w:p>
    <w:p>
      <w:pPr>
        <w:numPr>
          <w:ilvl w:val="0"/>
          <w:numId w:val="0"/>
        </w:numPr>
        <w:snapToGrid w:val="0"/>
        <w:spacing w:line="288" w:lineRule="auto"/>
        <w:rPr>
          <w:rFonts w:hint="eastAsia" w:ascii="宋体" w:hAnsi="宋体"/>
          <w:b w:val="0"/>
          <w:bCs w:val="0"/>
          <w:sz w:val="20"/>
          <w:szCs w:val="20"/>
          <w:highlight w:val="none"/>
          <w:lang w:val="en-US" w:eastAsia="zh-CN"/>
        </w:rPr>
      </w:pPr>
    </w:p>
    <w:p>
      <w:pPr>
        <w:numPr>
          <w:ilvl w:val="0"/>
          <w:numId w:val="0"/>
        </w:numPr>
        <w:snapToGrid w:val="0"/>
        <w:spacing w:line="288" w:lineRule="auto"/>
        <w:rPr>
          <w:rFonts w:hint="default" w:ascii="宋体" w:hAnsi="宋体"/>
          <w:b w:val="0"/>
          <w:bCs w:val="0"/>
          <w:sz w:val="20"/>
          <w:szCs w:val="20"/>
          <w:highlight w:val="none"/>
          <w:lang w:val="en-US" w:eastAsia="zh-CN"/>
        </w:rPr>
      </w:pPr>
    </w:p>
    <w:p>
      <w:pPr>
        <w:numPr>
          <w:ilvl w:val="0"/>
          <w:numId w:val="1"/>
        </w:numPr>
        <w:snapToGrid w:val="0"/>
        <w:spacing w:line="288" w:lineRule="auto"/>
        <w:ind w:left="0" w:leftChars="0" w:firstLine="402" w:firstLineChars="200"/>
        <w:rPr>
          <w:rFonts w:hint="eastAsia" w:ascii="宋体" w:hAnsi="宋体"/>
          <w:b/>
          <w:bCs/>
          <w:sz w:val="20"/>
          <w:szCs w:val="20"/>
          <w:highlight w:val="none"/>
          <w:lang w:val="en-US" w:eastAsia="zh-CN"/>
        </w:rPr>
      </w:pPr>
      <w:r>
        <w:rPr>
          <w:rFonts w:hint="eastAsia" w:ascii="宋体" w:hAnsi="宋体"/>
          <w:b/>
          <w:bCs/>
          <w:sz w:val="20"/>
          <w:szCs w:val="20"/>
          <w:highlight w:val="none"/>
          <w:lang w:val="en-US" w:eastAsia="zh-CN"/>
        </w:rPr>
        <w:t xml:space="preserve"> 做新闻：过去、现在与未来  4课时</w:t>
      </w:r>
    </w:p>
    <w:p>
      <w:pPr>
        <w:numPr>
          <w:ilvl w:val="0"/>
          <w:numId w:val="0"/>
        </w:numPr>
        <w:snapToGrid w:val="0"/>
        <w:spacing w:line="288" w:lineRule="auto"/>
        <w:rPr>
          <w:rFonts w:hint="eastAsia" w:ascii="宋体" w:hAnsi="宋体"/>
          <w:b/>
          <w:bCs/>
          <w:sz w:val="20"/>
          <w:szCs w:val="20"/>
          <w:highlight w:val="none"/>
          <w:lang w:val="en-US" w:eastAsia="zh-CN"/>
        </w:rPr>
      </w:pPr>
    </w:p>
    <w:p>
      <w:pPr>
        <w:numPr>
          <w:ilvl w:val="0"/>
          <w:numId w:val="0"/>
        </w:num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课前讨论：疫情期间美国等西方媒体为何频频“踩雷”？美国的新闻怎么了？</w:t>
      </w:r>
    </w:p>
    <w:p>
      <w:pPr>
        <w:numPr>
          <w:ilvl w:val="0"/>
          <w:numId w:val="0"/>
        </w:numPr>
        <w:snapToGrid w:val="0"/>
        <w:spacing w:line="288" w:lineRule="auto"/>
        <w:rPr>
          <w:rFonts w:hint="eastAsia" w:ascii="宋体" w:hAnsi="宋体"/>
          <w:b w:val="0"/>
          <w:bCs w:val="0"/>
          <w:sz w:val="20"/>
          <w:szCs w:val="20"/>
          <w:highlight w:val="none"/>
          <w:lang w:val="en-US" w:eastAsia="zh-CN"/>
        </w:rPr>
      </w:pPr>
    </w:p>
    <w:p>
      <w:pPr>
        <w:numPr>
          <w:ilvl w:val="0"/>
          <w:numId w:val="0"/>
        </w:num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本课时从“新冠疫情期间中西媒体的新闻报道与舆论战”这一时事性较强的实际案例出发，聚焦当前社会、行业和学界都关心的话题：新闻的内涵、新闻伦理与新闻专业主义在新媒体时代的演变。从具体案例引发学生兴趣和主动讨论，对中外新闻报道文本进行分析，介绍近年来代表性的理论和知识，加深学生对新闻定义、新闻价值、新闻伦理和新闻专业主义等重要概念的理解。</w:t>
      </w:r>
    </w:p>
    <w:p>
      <w:pPr>
        <w:numPr>
          <w:ilvl w:val="0"/>
          <w:numId w:val="0"/>
        </w:num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本课时也设置了思政教育点：通过疫情期间中国的新闻报道和美国新闻报道的比较，结合舒德森《发掘新闻》、甘斯《什么决定新闻》等专著中选段的阅读，使学生对美国新闻界多年来自诩的“客观性”、“中立性”、“新闻自由”的实质和本质，有一个更深刻的认识。</w:t>
      </w:r>
    </w:p>
    <w:p>
      <w:pPr>
        <w:numPr>
          <w:ilvl w:val="0"/>
          <w:numId w:val="0"/>
        </w:numPr>
        <w:snapToGrid w:val="0"/>
        <w:spacing w:line="288" w:lineRule="auto"/>
        <w:rPr>
          <w:rFonts w:hint="eastAsia" w:ascii="宋体" w:hAnsi="宋体"/>
          <w:b w:val="0"/>
          <w:bCs w:val="0"/>
          <w:sz w:val="20"/>
          <w:szCs w:val="20"/>
          <w:highlight w:val="none"/>
          <w:lang w:val="en-US" w:eastAsia="zh-CN"/>
        </w:rPr>
      </w:pPr>
    </w:p>
    <w:p>
      <w:pPr>
        <w:numPr>
          <w:ilvl w:val="0"/>
          <w:numId w:val="0"/>
        </w:numPr>
        <w:snapToGrid w:val="0"/>
        <w:spacing w:line="288" w:lineRule="auto"/>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重点与难点：对新闻专业主义、客观性等概念的内涵、形成历史、特征和本质的理解</w:t>
      </w:r>
    </w:p>
    <w:p>
      <w:pPr>
        <w:snapToGrid w:val="0"/>
        <w:spacing w:line="288" w:lineRule="auto"/>
        <w:ind w:firstLine="402" w:firstLineChars="200"/>
        <w:rPr>
          <w:rFonts w:hint="eastAsia" w:ascii="宋体" w:hAnsi="宋体"/>
          <w:b/>
          <w:bCs/>
          <w:sz w:val="20"/>
          <w:szCs w:val="20"/>
          <w:highlight w:val="none"/>
          <w:lang w:val="en-US" w:eastAsia="zh-CN"/>
        </w:rPr>
      </w:pPr>
    </w:p>
    <w:p>
      <w:pPr>
        <w:snapToGrid w:val="0"/>
        <w:spacing w:line="288" w:lineRule="auto"/>
        <w:ind w:firstLine="402" w:firstLineChars="200"/>
        <w:rPr>
          <w:rFonts w:hint="eastAsia" w:ascii="宋体" w:hAnsi="宋体"/>
          <w:b/>
          <w:bCs/>
          <w:sz w:val="20"/>
          <w:szCs w:val="20"/>
          <w:highlight w:val="none"/>
          <w:lang w:val="en-US" w:eastAsia="zh-CN"/>
        </w:rPr>
      </w:pPr>
    </w:p>
    <w:p>
      <w:pPr>
        <w:snapToGrid w:val="0"/>
        <w:spacing w:line="288" w:lineRule="auto"/>
        <w:ind w:firstLine="402" w:firstLineChars="200"/>
        <w:rPr>
          <w:rFonts w:hint="default" w:ascii="宋体" w:hAnsi="宋体"/>
          <w:b/>
          <w:bCs/>
          <w:sz w:val="20"/>
          <w:szCs w:val="20"/>
          <w:highlight w:val="none"/>
          <w:lang w:val="en-US" w:eastAsia="zh-CN"/>
        </w:rPr>
      </w:pPr>
      <w:r>
        <w:rPr>
          <w:rFonts w:hint="eastAsia" w:ascii="宋体" w:hAnsi="宋体"/>
          <w:b/>
          <w:bCs/>
          <w:sz w:val="20"/>
          <w:szCs w:val="20"/>
          <w:highlight w:val="none"/>
          <w:lang w:val="en-US" w:eastAsia="zh-CN"/>
        </w:rPr>
        <w:t>第三讲  理解视频：内容创作、运营与品牌建设  4课时</w:t>
      </w:r>
    </w:p>
    <w:p>
      <w:pPr>
        <w:snapToGrid w:val="0"/>
        <w:spacing w:line="288" w:lineRule="auto"/>
        <w:rPr>
          <w:rFonts w:hint="eastAsia" w:ascii="宋体" w:hAnsi="宋体"/>
          <w:b/>
          <w:bCs/>
          <w:sz w:val="20"/>
          <w:szCs w:val="20"/>
          <w:highlight w:val="none"/>
          <w:lang w:val="en-US" w:eastAsia="zh-CN"/>
        </w:rPr>
      </w:pPr>
    </w:p>
    <w:p>
      <w:p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本课时主要介绍融媒体时代视频内容的创作、运营和推广，以及融媒体环境下专业化电视台（频道）的内容创作、节目编排和品牌建设。通过对比当前自媒体视频内容创作（流媒体视频、播客、直播等）与专业化电视台的内容创作业界形态，让学生掌握自媒体和专业化电视台的视频内容创作流程以及各自特征；同时运用案例教学、情境教学等教学方法，教会学生进行市场调研，包括融媒体视频内容前期的受众调研、策划制作；后期的内容文本分析与受众效果研究等。</w:t>
      </w:r>
    </w:p>
    <w:p>
      <w:pPr>
        <w:snapToGrid w:val="0"/>
        <w:spacing w:line="288" w:lineRule="auto"/>
        <w:rPr>
          <w:rFonts w:hint="eastAsia" w:ascii="宋体" w:hAnsi="宋体"/>
          <w:b w:val="0"/>
          <w:bCs w:val="0"/>
          <w:sz w:val="20"/>
          <w:szCs w:val="20"/>
          <w:highlight w:val="none"/>
          <w:lang w:val="en-US" w:eastAsia="zh-CN"/>
        </w:rPr>
      </w:pPr>
    </w:p>
    <w:p>
      <w:pPr>
        <w:snapToGrid w:val="0"/>
        <w:spacing w:line="288" w:lineRule="auto"/>
        <w:rPr>
          <w:rFonts w:hint="default" w:ascii="宋体" w:hAnsi="宋体"/>
          <w:b/>
          <w:bCs/>
          <w:sz w:val="20"/>
          <w:szCs w:val="20"/>
          <w:highlight w:val="none"/>
          <w:lang w:val="en-US" w:eastAsia="zh-CN"/>
        </w:rPr>
      </w:pPr>
      <w:r>
        <w:rPr>
          <w:rFonts w:hint="eastAsia" w:ascii="宋体" w:hAnsi="宋体"/>
          <w:b w:val="0"/>
          <w:bCs w:val="0"/>
          <w:sz w:val="20"/>
          <w:szCs w:val="20"/>
          <w:highlight w:val="none"/>
          <w:lang w:val="en-US" w:eastAsia="zh-CN"/>
        </w:rPr>
        <w:t>重点与难点：理解自媒体视频和专业化电视内容创作流程的异同、各自的优势与不足；能够运用内容分析或文本分析法对案例进行研究。</w:t>
      </w:r>
    </w:p>
    <w:p>
      <w:pPr>
        <w:snapToGrid w:val="0"/>
        <w:spacing w:line="288" w:lineRule="auto"/>
        <w:ind w:firstLine="402" w:firstLineChars="200"/>
        <w:rPr>
          <w:rFonts w:hint="eastAsia" w:ascii="宋体" w:hAnsi="宋体"/>
          <w:b/>
          <w:bCs/>
          <w:sz w:val="20"/>
          <w:szCs w:val="20"/>
          <w:highlight w:val="none"/>
          <w:lang w:val="en-US" w:eastAsia="zh-CN"/>
        </w:rPr>
      </w:pPr>
    </w:p>
    <w:p>
      <w:pPr>
        <w:snapToGrid w:val="0"/>
        <w:spacing w:line="288" w:lineRule="auto"/>
        <w:ind w:firstLine="402" w:firstLineChars="200"/>
        <w:rPr>
          <w:rFonts w:hint="eastAsia" w:ascii="宋体" w:hAnsi="宋体"/>
          <w:b/>
          <w:bCs/>
          <w:sz w:val="20"/>
          <w:szCs w:val="20"/>
          <w:highlight w:val="none"/>
          <w:lang w:val="en-US" w:eastAsia="zh-CN"/>
        </w:rPr>
      </w:pPr>
    </w:p>
    <w:p>
      <w:pPr>
        <w:snapToGrid w:val="0"/>
        <w:spacing w:line="288" w:lineRule="auto"/>
        <w:ind w:firstLine="402" w:firstLineChars="200"/>
        <w:rPr>
          <w:rFonts w:hint="default" w:ascii="宋体" w:hAnsi="宋体"/>
          <w:b/>
          <w:bCs/>
          <w:sz w:val="20"/>
          <w:szCs w:val="20"/>
          <w:highlight w:val="none"/>
          <w:lang w:val="en-US" w:eastAsia="zh-CN"/>
        </w:rPr>
      </w:pPr>
      <w:r>
        <w:rPr>
          <w:rFonts w:hint="eastAsia" w:ascii="宋体" w:hAnsi="宋体"/>
          <w:b/>
          <w:bCs/>
          <w:sz w:val="20"/>
          <w:szCs w:val="20"/>
          <w:highlight w:val="none"/>
          <w:lang w:val="en-US" w:eastAsia="zh-CN"/>
        </w:rPr>
        <w:t>第四讲  方法论：文献综述的写作  4课时</w:t>
      </w:r>
    </w:p>
    <w:p>
      <w:pPr>
        <w:snapToGrid w:val="0"/>
        <w:spacing w:line="288" w:lineRule="auto"/>
        <w:rPr>
          <w:rFonts w:hint="eastAsia" w:ascii="宋体" w:hAnsi="宋体"/>
          <w:b/>
          <w:bCs/>
          <w:sz w:val="20"/>
          <w:szCs w:val="20"/>
          <w:highlight w:val="none"/>
          <w:lang w:val="en-US" w:eastAsia="zh-CN"/>
        </w:rPr>
      </w:pPr>
    </w:p>
    <w:p>
      <w:p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本课时主要为学生毕业阶段的研究与设计，介绍学术研究的基本规范和操作流程；重点任务为掌握文献综述的写作方法，具体教学任务分为：</w:t>
      </w:r>
    </w:p>
    <w:p>
      <w:p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4-1-1 文献综述的学术意义和基本规范</w:t>
      </w:r>
    </w:p>
    <w:p>
      <w:p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4-1-2 专业文献的查阅方法</w:t>
      </w:r>
    </w:p>
    <w:p>
      <w:pPr>
        <w:snapToGrid w:val="0"/>
        <w:spacing w:line="288" w:lineRule="auto"/>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4-1-3 文献综述的主要内容和撰写目的；研究的问题意识</w:t>
      </w:r>
    </w:p>
    <w:p>
      <w:pPr>
        <w:snapToGrid w:val="0"/>
        <w:spacing w:line="288" w:lineRule="auto"/>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4-1-4 文献综述的基本格式；学术文献的注释规范</w:t>
      </w:r>
    </w:p>
    <w:p>
      <w:pPr>
        <w:snapToGrid w:val="0"/>
        <w:spacing w:line="288" w:lineRule="auto"/>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4-2-1 个人大作业：文献综述写作（3000字以上）的基本要求</w:t>
      </w:r>
    </w:p>
    <w:p>
      <w:pPr>
        <w:snapToGrid w:val="0"/>
        <w:spacing w:line="288" w:lineRule="auto"/>
        <w:rPr>
          <w:rFonts w:hint="eastAsia" w:ascii="宋体" w:hAnsi="宋体"/>
          <w:b/>
          <w:bCs/>
          <w:sz w:val="20"/>
          <w:szCs w:val="20"/>
          <w:highlight w:val="none"/>
          <w:lang w:val="en-US" w:eastAsia="zh-CN"/>
        </w:rPr>
      </w:pPr>
    </w:p>
    <w:p>
      <w:pPr>
        <w:snapToGrid w:val="0"/>
        <w:spacing w:line="288" w:lineRule="auto"/>
        <w:rPr>
          <w:rFonts w:hint="default" w:ascii="宋体" w:hAnsi="宋体"/>
          <w:b/>
          <w:bCs/>
          <w:sz w:val="20"/>
          <w:szCs w:val="20"/>
          <w:highlight w:val="none"/>
          <w:lang w:val="en-US" w:eastAsia="zh-CN"/>
        </w:rPr>
      </w:pPr>
      <w:r>
        <w:rPr>
          <w:rFonts w:hint="eastAsia" w:ascii="宋体" w:hAnsi="宋体"/>
          <w:b/>
          <w:bCs/>
          <w:sz w:val="20"/>
          <w:szCs w:val="20"/>
          <w:highlight w:val="none"/>
          <w:lang w:val="en-US" w:eastAsia="zh-CN"/>
        </w:rPr>
        <w:t>重点与难点：让学生明确文献综述的重要性；为什么做学术研究要做文献综述；明确研究的问题意识</w:t>
      </w:r>
    </w:p>
    <w:p>
      <w:pPr>
        <w:snapToGrid w:val="0"/>
        <w:spacing w:line="288" w:lineRule="auto"/>
        <w:rPr>
          <w:rFonts w:hint="eastAsia" w:ascii="宋体" w:hAnsi="宋体"/>
          <w:b/>
          <w:bCs/>
          <w:sz w:val="20"/>
          <w:szCs w:val="20"/>
          <w:highlight w:val="none"/>
          <w:lang w:val="en-US" w:eastAsia="zh-CN"/>
        </w:rPr>
      </w:pPr>
    </w:p>
    <w:p>
      <w:pPr>
        <w:snapToGrid w:val="0"/>
        <w:spacing w:line="288" w:lineRule="auto"/>
        <w:ind w:firstLine="402" w:firstLineChars="200"/>
        <w:rPr>
          <w:rFonts w:hint="eastAsia" w:ascii="宋体" w:hAnsi="宋体"/>
          <w:b/>
          <w:bCs/>
          <w:sz w:val="20"/>
          <w:szCs w:val="20"/>
          <w:highlight w:val="none"/>
          <w:lang w:val="en-US" w:eastAsia="zh-CN"/>
        </w:rPr>
      </w:pPr>
    </w:p>
    <w:p>
      <w:pPr>
        <w:snapToGrid w:val="0"/>
        <w:spacing w:line="288" w:lineRule="auto"/>
        <w:ind w:firstLine="402" w:firstLineChars="200"/>
        <w:rPr>
          <w:rFonts w:hint="default" w:ascii="宋体" w:hAnsi="宋体"/>
          <w:b/>
          <w:bCs/>
          <w:sz w:val="20"/>
          <w:szCs w:val="20"/>
          <w:highlight w:val="none"/>
          <w:lang w:val="en-US" w:eastAsia="zh-CN"/>
        </w:rPr>
      </w:pPr>
      <w:r>
        <w:rPr>
          <w:rFonts w:hint="eastAsia" w:ascii="宋体" w:hAnsi="宋体"/>
          <w:b/>
          <w:bCs/>
          <w:sz w:val="20"/>
          <w:szCs w:val="20"/>
          <w:highlight w:val="none"/>
          <w:lang w:val="en-US" w:eastAsia="zh-CN"/>
        </w:rPr>
        <w:t>第五讲  受众研究：文本盗猎者  4课时</w:t>
      </w:r>
    </w:p>
    <w:p>
      <w:pPr>
        <w:snapToGrid w:val="0"/>
        <w:spacing w:line="288" w:lineRule="auto"/>
        <w:ind w:firstLine="402" w:firstLineChars="200"/>
        <w:rPr>
          <w:rFonts w:hint="eastAsia" w:ascii="宋体" w:hAnsi="宋体"/>
          <w:b/>
          <w:bCs/>
          <w:sz w:val="20"/>
          <w:szCs w:val="20"/>
          <w:highlight w:val="none"/>
          <w:lang w:val="en-US" w:eastAsia="zh-CN"/>
        </w:rPr>
      </w:pPr>
    </w:p>
    <w:p>
      <w:p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本课时聚焦传媒研究中的重点要素：受众；通过案例教学、设置情境引导学生讨论与辨析等教学方法，帮助学生巩固先期课程中学过的传播学经典受众理论如：使用与满足理论、培养分析理论等；同时介绍学术界对传媒受众的新关注焦点和近年来的研究热点，如受众的社群组织结构、受众的群体心理机制、粉丝文化与饭圈文化等。可运用部分典型案例，引导学生从专业角度分析，向学生提供一些新的理论视角，尤其是交叉学科如社会学、心理学的相关新理论。</w:t>
      </w:r>
    </w:p>
    <w:p>
      <w:pPr>
        <w:snapToGrid w:val="0"/>
        <w:spacing w:line="288" w:lineRule="auto"/>
        <w:rPr>
          <w:rFonts w:hint="eastAsia" w:ascii="宋体" w:hAnsi="宋体"/>
          <w:b w:val="0"/>
          <w:bCs w:val="0"/>
          <w:sz w:val="20"/>
          <w:szCs w:val="20"/>
          <w:highlight w:val="none"/>
          <w:lang w:val="en-US" w:eastAsia="zh-CN"/>
        </w:rPr>
      </w:pPr>
    </w:p>
    <w:p>
      <w:pPr>
        <w:snapToGrid w:val="0"/>
        <w:spacing w:line="288" w:lineRule="auto"/>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重点与难点：本课时内容是当代青年学生生活中就很关心的话题，如何将其个人关心引导到理性化、中立化的学术讨论上，教师要注意把握好分寸。</w:t>
      </w:r>
    </w:p>
    <w:p>
      <w:pPr>
        <w:snapToGrid w:val="0"/>
        <w:spacing w:line="288" w:lineRule="auto"/>
        <w:ind w:firstLine="402" w:firstLineChars="200"/>
        <w:rPr>
          <w:rFonts w:hint="eastAsia" w:ascii="宋体" w:hAnsi="宋体"/>
          <w:b/>
          <w:bCs/>
          <w:sz w:val="20"/>
          <w:szCs w:val="20"/>
          <w:highlight w:val="none"/>
          <w:lang w:val="en-US" w:eastAsia="zh-CN"/>
        </w:rPr>
      </w:pPr>
    </w:p>
    <w:p>
      <w:pPr>
        <w:snapToGrid w:val="0"/>
        <w:spacing w:line="288" w:lineRule="auto"/>
        <w:ind w:firstLine="402" w:firstLineChars="200"/>
        <w:rPr>
          <w:rFonts w:hint="eastAsia" w:ascii="宋体" w:hAnsi="宋体"/>
          <w:b/>
          <w:bCs/>
          <w:sz w:val="20"/>
          <w:szCs w:val="20"/>
          <w:highlight w:val="none"/>
          <w:lang w:val="en-US" w:eastAsia="zh-CN"/>
        </w:rPr>
      </w:pPr>
    </w:p>
    <w:p>
      <w:pPr>
        <w:snapToGrid w:val="0"/>
        <w:spacing w:line="288" w:lineRule="auto"/>
        <w:ind w:firstLine="402" w:firstLineChars="200"/>
        <w:rPr>
          <w:rFonts w:hint="default" w:ascii="宋体" w:hAnsi="宋体"/>
          <w:b/>
          <w:bCs/>
          <w:sz w:val="20"/>
          <w:szCs w:val="20"/>
          <w:highlight w:val="none"/>
          <w:lang w:val="en-US" w:eastAsia="zh-CN"/>
        </w:rPr>
      </w:pPr>
      <w:r>
        <w:rPr>
          <w:rFonts w:hint="eastAsia" w:ascii="宋体" w:hAnsi="宋体"/>
          <w:b/>
          <w:bCs/>
          <w:sz w:val="20"/>
          <w:szCs w:val="20"/>
          <w:highlight w:val="none"/>
          <w:lang w:val="en-US" w:eastAsia="zh-CN"/>
        </w:rPr>
        <w:t>第六讲  媒介历史：考古学和地理学  4课时</w:t>
      </w:r>
    </w:p>
    <w:p>
      <w:pPr>
        <w:snapToGrid w:val="0"/>
        <w:spacing w:line="288" w:lineRule="auto"/>
        <w:ind w:firstLine="402" w:firstLineChars="200"/>
        <w:rPr>
          <w:rFonts w:hint="eastAsia" w:ascii="宋体" w:hAnsi="宋体"/>
          <w:b/>
          <w:bCs/>
          <w:sz w:val="20"/>
          <w:szCs w:val="20"/>
          <w:highlight w:val="none"/>
          <w:lang w:val="en-US" w:eastAsia="zh-CN"/>
        </w:rPr>
      </w:pPr>
    </w:p>
    <w:p>
      <w:pPr>
        <w:snapToGrid w:val="0"/>
        <w:spacing w:line="288" w:lineRule="auto"/>
        <w:rPr>
          <w:rFonts w:hint="eastAsia" w:ascii="宋体" w:hAnsi="宋体"/>
          <w:b/>
          <w:bCs/>
          <w:sz w:val="20"/>
          <w:szCs w:val="20"/>
          <w:highlight w:val="none"/>
          <w:lang w:val="en-US" w:eastAsia="zh-CN"/>
        </w:rPr>
      </w:pPr>
      <w:r>
        <w:rPr>
          <w:rFonts w:hint="eastAsia" w:ascii="宋体" w:hAnsi="宋体"/>
          <w:b/>
          <w:bCs/>
          <w:sz w:val="20"/>
          <w:szCs w:val="20"/>
          <w:highlight w:val="none"/>
          <w:lang w:val="en-US" w:eastAsia="zh-CN"/>
        </w:rPr>
        <w:t>本课时主要介绍一些媒介研究的新视角，帮助学生拓宽知识面和视野，对“大传播”的概念，以及当前学术界、业界对传播学研究内涵与外延的拓展有一定的了解。涉及内容有：</w:t>
      </w:r>
    </w:p>
    <w:p>
      <w:p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6-1-1 媒介与技术：技术学派的新理论</w:t>
      </w:r>
    </w:p>
    <w:p>
      <w:p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6-1-2 媒介与地理：麦夸尔的“地理媒介”</w:t>
      </w:r>
    </w:p>
    <w:p>
      <w:p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6-1-3 媒介与历史：英尼斯、麦克卢汉与德布雷等</w:t>
      </w:r>
    </w:p>
    <w:p>
      <w:pPr>
        <w:snapToGrid w:val="0"/>
        <w:spacing w:line="288" w:lineRule="auto"/>
        <w:rPr>
          <w:rFonts w:hint="eastAsia" w:ascii="宋体" w:hAnsi="宋体"/>
          <w:b/>
          <w:bCs/>
          <w:sz w:val="20"/>
          <w:szCs w:val="20"/>
          <w:highlight w:val="none"/>
          <w:lang w:val="en-US" w:eastAsia="zh-CN"/>
        </w:rPr>
      </w:pPr>
    </w:p>
    <w:p>
      <w:pPr>
        <w:snapToGrid w:val="0"/>
        <w:spacing w:line="288" w:lineRule="auto"/>
        <w:rPr>
          <w:rFonts w:hint="eastAsia" w:ascii="宋体" w:hAnsi="宋体"/>
          <w:b/>
          <w:bCs/>
          <w:sz w:val="20"/>
          <w:szCs w:val="20"/>
          <w:highlight w:val="none"/>
          <w:lang w:val="en-US" w:eastAsia="zh-CN"/>
        </w:rPr>
      </w:pPr>
      <w:r>
        <w:rPr>
          <w:rFonts w:hint="eastAsia" w:ascii="宋体" w:hAnsi="宋体"/>
          <w:b/>
          <w:bCs/>
          <w:sz w:val="20"/>
          <w:szCs w:val="20"/>
          <w:highlight w:val="none"/>
          <w:lang w:val="en-US" w:eastAsia="zh-CN"/>
        </w:rPr>
        <w:t>重点与难点：本课时主要是为了拓展学生兴趣和视野，介绍一些媒介理论的新观点，不用介绍得太艰深，可从一个研究主题切入，如“城市”，以不同理论视角切入，启发学生观察事务和现象的多维性，为毕业研究的选题做好准备。</w:t>
      </w:r>
    </w:p>
    <w:p>
      <w:pPr>
        <w:snapToGrid w:val="0"/>
        <w:spacing w:line="288" w:lineRule="auto"/>
        <w:rPr>
          <w:rFonts w:hint="eastAsia" w:ascii="宋体" w:hAnsi="宋体"/>
          <w:b/>
          <w:bCs/>
          <w:sz w:val="20"/>
          <w:szCs w:val="20"/>
          <w:highlight w:val="none"/>
          <w:lang w:val="en-US" w:eastAsia="zh-CN"/>
        </w:rPr>
      </w:pPr>
    </w:p>
    <w:p>
      <w:pPr>
        <w:snapToGrid w:val="0"/>
        <w:spacing w:line="288" w:lineRule="auto"/>
        <w:ind w:firstLine="402" w:firstLineChars="200"/>
        <w:rPr>
          <w:rFonts w:hint="eastAsia" w:ascii="宋体" w:hAnsi="宋体"/>
          <w:b/>
          <w:bCs/>
          <w:sz w:val="20"/>
          <w:szCs w:val="20"/>
          <w:highlight w:val="none"/>
          <w:lang w:val="en-US" w:eastAsia="zh-CN"/>
        </w:rPr>
      </w:pPr>
    </w:p>
    <w:p>
      <w:pPr>
        <w:numPr>
          <w:ilvl w:val="0"/>
          <w:numId w:val="2"/>
        </w:numPr>
        <w:snapToGrid w:val="0"/>
        <w:spacing w:line="288" w:lineRule="auto"/>
        <w:ind w:firstLine="402" w:firstLineChars="200"/>
        <w:rPr>
          <w:rFonts w:hint="eastAsia" w:ascii="宋体" w:hAnsi="宋体"/>
          <w:b/>
          <w:bCs/>
          <w:sz w:val="20"/>
          <w:szCs w:val="20"/>
          <w:highlight w:val="none"/>
          <w:lang w:val="en-US" w:eastAsia="zh-CN"/>
        </w:rPr>
      </w:pPr>
      <w:r>
        <w:rPr>
          <w:rFonts w:hint="eastAsia" w:ascii="宋体" w:hAnsi="宋体"/>
          <w:b/>
          <w:bCs/>
          <w:sz w:val="20"/>
          <w:szCs w:val="20"/>
          <w:highlight w:val="none"/>
          <w:lang w:val="en-US" w:eastAsia="zh-CN"/>
        </w:rPr>
        <w:t xml:space="preserve"> 小组研究与课堂展示  4课时</w:t>
      </w:r>
    </w:p>
    <w:p>
      <w:pPr>
        <w:widowControl w:val="0"/>
        <w:numPr>
          <w:ilvl w:val="0"/>
          <w:numId w:val="0"/>
        </w:numPr>
        <w:snapToGrid w:val="0"/>
        <w:spacing w:line="288" w:lineRule="auto"/>
        <w:jc w:val="both"/>
        <w:rPr>
          <w:rFonts w:hint="eastAsia" w:ascii="宋体" w:hAnsi="宋体"/>
          <w:b/>
          <w:bCs/>
          <w:sz w:val="20"/>
          <w:szCs w:val="20"/>
          <w:highlight w:val="none"/>
          <w:lang w:val="en-US" w:eastAsia="zh-CN"/>
        </w:rPr>
      </w:pPr>
    </w:p>
    <w:p>
      <w:pPr>
        <w:widowControl w:val="0"/>
        <w:numPr>
          <w:ilvl w:val="0"/>
          <w:numId w:val="0"/>
        </w:numPr>
        <w:snapToGrid w:val="0"/>
        <w:spacing w:line="288" w:lineRule="auto"/>
        <w:jc w:val="both"/>
        <w:rPr>
          <w:rFonts w:hint="default"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本课时为翻转课堂。学生以4-6人的团队为单位，从课堂讨论过的学术话题或自己感兴趣、与传播学专业高度相关的话题中选择一个，运用一种以上的研究方法：内容分析、文本分析、实地考察、网络问卷皆可，进行研究，通过研究明确或解决一个问题，在课堂上讲研究成果与同学分享。教师组织交流，进行点评。</w:t>
      </w:r>
    </w:p>
    <w:p>
      <w:pPr>
        <w:widowControl w:val="0"/>
        <w:numPr>
          <w:ilvl w:val="0"/>
          <w:numId w:val="0"/>
        </w:numPr>
        <w:snapToGrid w:val="0"/>
        <w:spacing w:line="288" w:lineRule="auto"/>
        <w:jc w:val="both"/>
        <w:rPr>
          <w:rFonts w:hint="eastAsia" w:ascii="宋体" w:hAnsi="宋体"/>
          <w:b/>
          <w:bCs/>
          <w:sz w:val="20"/>
          <w:szCs w:val="20"/>
          <w:highlight w:val="none"/>
          <w:lang w:val="en-US" w:eastAsia="zh-CN"/>
        </w:rPr>
      </w:pPr>
    </w:p>
    <w:p>
      <w:pPr>
        <w:widowControl w:val="0"/>
        <w:numPr>
          <w:ilvl w:val="0"/>
          <w:numId w:val="0"/>
        </w:numPr>
        <w:snapToGrid w:val="0"/>
        <w:spacing w:line="288" w:lineRule="auto"/>
        <w:jc w:val="both"/>
        <w:rPr>
          <w:rFonts w:hint="eastAsia" w:ascii="宋体" w:hAnsi="宋体"/>
          <w:b/>
          <w:bCs/>
          <w:sz w:val="20"/>
          <w:szCs w:val="20"/>
          <w:highlight w:val="none"/>
          <w:lang w:val="en-US" w:eastAsia="zh-CN"/>
        </w:rPr>
      </w:pPr>
    </w:p>
    <w:p>
      <w:pPr>
        <w:widowControl w:val="0"/>
        <w:numPr>
          <w:ilvl w:val="0"/>
          <w:numId w:val="0"/>
        </w:numPr>
        <w:snapToGrid w:val="0"/>
        <w:spacing w:line="288" w:lineRule="auto"/>
        <w:ind w:firstLine="402" w:firstLineChars="200"/>
        <w:jc w:val="both"/>
        <w:rPr>
          <w:rFonts w:hint="default" w:ascii="宋体" w:hAnsi="宋体"/>
          <w:b/>
          <w:bCs/>
          <w:sz w:val="20"/>
          <w:szCs w:val="20"/>
          <w:highlight w:val="none"/>
          <w:lang w:val="en-US" w:eastAsia="zh-CN"/>
        </w:rPr>
      </w:pPr>
      <w:r>
        <w:rPr>
          <w:rFonts w:hint="eastAsia" w:ascii="宋体" w:hAnsi="宋体"/>
          <w:b/>
          <w:bCs/>
          <w:sz w:val="20"/>
          <w:szCs w:val="20"/>
          <w:highlight w:val="none"/>
          <w:lang w:val="en-US" w:eastAsia="zh-CN"/>
        </w:rPr>
        <w:t>第八讲  总结  2课时</w:t>
      </w:r>
    </w:p>
    <w:p>
      <w:pPr>
        <w:widowControl w:val="0"/>
        <w:numPr>
          <w:ilvl w:val="0"/>
          <w:numId w:val="0"/>
        </w:numPr>
        <w:snapToGrid w:val="0"/>
        <w:spacing w:line="288" w:lineRule="auto"/>
        <w:jc w:val="both"/>
        <w:rPr>
          <w:rFonts w:hint="eastAsia" w:ascii="宋体" w:hAnsi="宋体"/>
          <w:b/>
          <w:bCs/>
          <w:sz w:val="20"/>
          <w:szCs w:val="20"/>
          <w:highlight w:val="none"/>
          <w:lang w:val="en-US" w:eastAsia="zh-CN"/>
        </w:rPr>
      </w:pPr>
    </w:p>
    <w:p>
      <w:pPr>
        <w:snapToGrid w:val="0"/>
        <w:spacing w:line="288" w:lineRule="auto"/>
        <w:rPr>
          <w:rFonts w:hint="eastAsia" w:ascii="宋体" w:hAnsi="宋体"/>
          <w:b w:val="0"/>
          <w:bCs w:val="0"/>
          <w:sz w:val="20"/>
          <w:szCs w:val="20"/>
          <w:highlight w:val="none"/>
          <w:lang w:val="en-US" w:eastAsia="zh-CN"/>
        </w:rPr>
      </w:pPr>
      <w:r>
        <w:rPr>
          <w:rFonts w:hint="eastAsia" w:ascii="宋体" w:hAnsi="宋体"/>
          <w:b w:val="0"/>
          <w:bCs w:val="0"/>
          <w:sz w:val="20"/>
          <w:szCs w:val="20"/>
          <w:highlight w:val="none"/>
          <w:lang w:val="en-US" w:eastAsia="zh-CN"/>
        </w:rPr>
        <w:t>本课时为总复习，查遗补漏，针对学生对课堂教学内容尚存的疑问进行释疑解答，对整个课程的教学进行回顾和总结。</w:t>
      </w:r>
    </w:p>
    <w:p>
      <w:pPr>
        <w:snapToGrid w:val="0"/>
        <w:spacing w:line="288" w:lineRule="auto"/>
        <w:rPr>
          <w:rFonts w:hint="eastAsia" w:ascii="宋体" w:hAnsi="宋体"/>
          <w:b/>
          <w:bCs/>
          <w:sz w:val="20"/>
          <w:szCs w:val="20"/>
          <w:highlight w:val="none"/>
          <w:lang w:val="en-US" w:eastAsia="zh-CN"/>
        </w:rPr>
      </w:pPr>
    </w:p>
    <w:p>
      <w:pPr>
        <w:snapToGrid w:val="0"/>
        <w:spacing w:line="288" w:lineRule="auto"/>
        <w:rPr>
          <w:rFonts w:hint="eastAsia" w:ascii="宋体" w:hAnsi="宋体"/>
          <w:b/>
          <w:bCs/>
          <w:sz w:val="20"/>
          <w:szCs w:val="20"/>
          <w:highlight w:val="none"/>
          <w:lang w:val="en-US" w:eastAsia="zh-CN"/>
        </w:rPr>
      </w:pPr>
    </w:p>
    <w:p>
      <w:pPr>
        <w:snapToGrid w:val="0"/>
        <w:spacing w:line="288" w:lineRule="auto"/>
        <w:ind w:right="2520" w:firstLine="480" w:firstLineChars="200"/>
        <w:rPr>
          <w:sz w:val="20"/>
          <w:szCs w:val="20"/>
          <w:highlight w:val="none"/>
        </w:rPr>
      </w:pPr>
      <w:r>
        <w:rPr>
          <w:rFonts w:hint="eastAsia" w:ascii="黑体" w:hAnsi="宋体" w:eastAsia="黑体"/>
          <w:sz w:val="24"/>
          <w:highlight w:val="none"/>
          <w:lang w:val="en-US" w:eastAsia="zh-CN"/>
        </w:rPr>
        <w:t>七</w:t>
      </w:r>
      <w:r>
        <w:rPr>
          <w:rFonts w:hint="eastAsia" w:ascii="黑体" w:hAnsi="宋体" w:eastAsia="黑体"/>
          <w:sz w:val="24"/>
          <w:highlight w:val="none"/>
        </w:rPr>
        <w:t>、评价方式与成绩</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highlight w:val="none"/>
              </w:rPr>
            </w:pPr>
            <w:r>
              <w:rPr>
                <w:rFonts w:hint="eastAsia" w:ascii="宋体" w:hAnsi="宋体"/>
                <w:bCs/>
                <w:color w:val="000000"/>
                <w:szCs w:val="20"/>
                <w:highlight w:val="none"/>
              </w:rPr>
              <w:t>总评构成（</w:t>
            </w:r>
            <w:r>
              <w:rPr>
                <w:rFonts w:ascii="宋体" w:hAnsi="宋体"/>
                <w:bCs/>
                <w:color w:val="000000"/>
                <w:szCs w:val="20"/>
                <w:highlight w:val="none"/>
              </w:rPr>
              <w:t>X</w:t>
            </w:r>
            <w:r>
              <w:rPr>
                <w:rFonts w:hint="eastAsia" w:ascii="宋体" w:hAnsi="宋体"/>
                <w:bCs/>
                <w:color w:val="000000"/>
                <w:szCs w:val="20"/>
                <w:highlight w:val="none"/>
              </w:rPr>
              <w:t>）</w:t>
            </w:r>
          </w:p>
        </w:tc>
        <w:tc>
          <w:tcPr>
            <w:tcW w:w="510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评价方式</w:t>
            </w:r>
          </w:p>
        </w:tc>
        <w:tc>
          <w:tcPr>
            <w:tcW w:w="1843"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top"/>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个人大作业：文献综述练习（3000字以上）</w:t>
            </w:r>
          </w:p>
        </w:tc>
        <w:tc>
          <w:tcPr>
            <w:tcW w:w="1843" w:type="dxa"/>
            <w:shd w:val="clear" w:color="auto" w:fill="auto"/>
            <w:vAlign w:val="top"/>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vAlign w:val="top"/>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小组作业：研究与课堂展示</w:t>
            </w:r>
          </w:p>
        </w:tc>
        <w:tc>
          <w:tcPr>
            <w:tcW w:w="1843" w:type="dxa"/>
            <w:shd w:val="clear" w:color="auto" w:fill="auto"/>
            <w:vAlign w:val="top"/>
          </w:tcPr>
          <w:p>
            <w:pPr>
              <w:snapToGrid w:val="0"/>
              <w:spacing w:beforeLines="50" w:afterLines="50"/>
              <w:jc w:val="center"/>
              <w:rPr>
                <w:rFonts w:hint="default" w:ascii="宋体" w:hAnsi="宋体"/>
                <w:bCs/>
                <w:color w:val="000000"/>
                <w:szCs w:val="20"/>
                <w:highlight w:val="none"/>
                <w:lang w:val="en-US" w:eastAsia="zh-CN"/>
              </w:rPr>
            </w:pPr>
            <w:r>
              <w:rPr>
                <w:rFonts w:hint="eastAsia" w:ascii="宋体" w:hAnsi="宋体"/>
                <w:bCs/>
                <w:color w:val="000000"/>
                <w:szCs w:val="20"/>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tcPr>
          <w:p>
            <w:pPr>
              <w:snapToGrid w:val="0"/>
              <w:spacing w:beforeLines="50"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课堂练习：阅读材料回答问题</w:t>
            </w:r>
          </w:p>
        </w:tc>
        <w:tc>
          <w:tcPr>
            <w:tcW w:w="1843" w:type="dxa"/>
            <w:shd w:val="clear" w:color="auto" w:fill="auto"/>
          </w:tcPr>
          <w:p>
            <w:pPr>
              <w:snapToGrid w:val="0"/>
              <w:spacing w:beforeLines="50" w:afterLines="50"/>
              <w:jc w:val="center"/>
              <w:rPr>
                <w:rFonts w:hint="default" w:ascii="宋体" w:hAnsi="宋体"/>
                <w:bCs/>
                <w:color w:val="000000"/>
                <w:szCs w:val="20"/>
                <w:highlight w:val="none"/>
                <w:lang w:val="en-US" w:eastAsia="zh-CN"/>
              </w:rPr>
            </w:pPr>
            <w:r>
              <w:rPr>
                <w:rFonts w:hint="eastAsia" w:ascii="宋体" w:hAnsi="宋体"/>
                <w:bCs/>
                <w:color w:val="000000"/>
                <w:szCs w:val="20"/>
                <w:highlight w:val="none"/>
                <w:lang w:val="en-US" w:eastAsia="zh-CN"/>
              </w:rPr>
              <w:t>20%</w:t>
            </w:r>
          </w:p>
        </w:tc>
      </w:tr>
    </w:tbl>
    <w:p>
      <w:pPr>
        <w:snapToGrid w:val="0"/>
        <w:spacing w:line="288" w:lineRule="auto"/>
        <w:ind w:right="2520" w:firstLine="480" w:firstLineChars="200"/>
        <w:rPr>
          <w:rFonts w:hint="eastAsia" w:ascii="黑体" w:hAnsi="宋体" w:eastAsia="黑体"/>
          <w:sz w:val="24"/>
          <w:highlight w:val="none"/>
          <w:lang w:val="en-US" w:eastAsia="zh-CN"/>
        </w:rPr>
      </w:pPr>
    </w:p>
    <w:p>
      <w:pPr>
        <w:snapToGrid w:val="0"/>
        <w:spacing w:before="120" w:after="120" w:line="288" w:lineRule="auto"/>
        <w:ind w:firstLine="400" w:firstLineChars="200"/>
        <w:rPr>
          <w:rFonts w:ascii="宋体" w:hAnsi="宋体"/>
          <w:sz w:val="20"/>
          <w:szCs w:val="20"/>
          <w:highlight w:val="none"/>
        </w:rPr>
      </w:pPr>
    </w:p>
    <w:p>
      <w:pPr>
        <w:snapToGrid w:val="0"/>
        <w:spacing w:line="288" w:lineRule="auto"/>
        <w:ind w:firstLine="840" w:firstLineChars="300"/>
        <w:rPr>
          <w:rFonts w:hint="eastAsia"/>
          <w:sz w:val="28"/>
          <w:szCs w:val="28"/>
          <w:highlight w:val="none"/>
        </w:rPr>
      </w:pPr>
    </w:p>
    <w:p>
      <w:pPr>
        <w:snapToGrid w:val="0"/>
        <w:spacing w:line="288" w:lineRule="auto"/>
        <w:rPr>
          <w:sz w:val="24"/>
          <w:szCs w:val="24"/>
          <w:highlight w:val="none"/>
          <w:lang w:val="en-US"/>
        </w:rPr>
      </w:pPr>
      <w:r>
        <w:rPr>
          <w:rFonts w:hint="eastAsia"/>
          <w:sz w:val="24"/>
          <w:szCs w:val="24"/>
          <w:highlight w:val="none"/>
        </w:rPr>
        <w:t>撰写人：</w:t>
      </w:r>
      <w:r>
        <w:rPr>
          <w:rFonts w:hint="eastAsia"/>
          <w:sz w:val="24"/>
          <w:szCs w:val="24"/>
          <w:highlight w:val="none"/>
          <w:lang w:val="en-US" w:eastAsia="zh-CN"/>
        </w:rPr>
        <w:t xml:space="preserve">  金晶         </w:t>
      </w:r>
      <w:bookmarkStart w:id="1" w:name="_GoBack"/>
      <w:bookmarkEnd w:id="1"/>
      <w:r>
        <w:rPr>
          <w:rFonts w:hint="eastAsia"/>
          <w:sz w:val="24"/>
          <w:szCs w:val="24"/>
          <w:highlight w:val="none"/>
        </w:rPr>
        <w:t>系主任审核签名：</w:t>
      </w:r>
      <w:r>
        <w:rPr>
          <w:rFonts w:hint="eastAsia"/>
          <w:sz w:val="24"/>
          <w:szCs w:val="24"/>
          <w:highlight w:val="none"/>
          <w:lang w:val="en-US" w:eastAsia="zh-CN"/>
        </w:rPr>
        <w:t>沈慧萍</w:t>
      </w:r>
      <w:r>
        <w:rPr>
          <w:rFonts w:hint="default"/>
          <w:sz w:val="24"/>
          <w:szCs w:val="24"/>
          <w:highlight w:val="none"/>
          <w:lang w:val="en-US" w:eastAsia="zh-CN"/>
        </w:rPr>
        <w:t xml:space="preserve">    </w:t>
      </w:r>
      <w:r>
        <w:rPr>
          <w:rFonts w:hint="eastAsia"/>
          <w:sz w:val="24"/>
          <w:szCs w:val="24"/>
          <w:highlight w:val="none"/>
        </w:rPr>
        <w:t>审核时间：</w:t>
      </w:r>
      <w:r>
        <w:rPr>
          <w:rFonts w:hint="eastAsia"/>
          <w:sz w:val="24"/>
          <w:szCs w:val="24"/>
          <w:highlight w:val="none"/>
          <w:lang w:val="en-US" w:eastAsia="zh-CN"/>
        </w:rPr>
        <w:t>2020年9月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4D04FF"/>
    <w:multiLevelType w:val="singleLevel"/>
    <w:tmpl w:val="C34D04FF"/>
    <w:lvl w:ilvl="0" w:tentative="0">
      <w:start w:val="1"/>
      <w:numFmt w:val="chineseCounting"/>
      <w:suff w:val="space"/>
      <w:lvlText w:val="第%1讲"/>
      <w:lvlJc w:val="left"/>
      <w:rPr>
        <w:rFonts w:hint="eastAsia"/>
      </w:rPr>
    </w:lvl>
  </w:abstractNum>
  <w:abstractNum w:abstractNumId="1">
    <w:nsid w:val="EE88A11A"/>
    <w:multiLevelType w:val="singleLevel"/>
    <w:tmpl w:val="EE88A11A"/>
    <w:lvl w:ilvl="0" w:tentative="0">
      <w:start w:val="7"/>
      <w:numFmt w:val="chineseCounting"/>
      <w:suff w:val="space"/>
      <w:lvlText w:val="第%1讲"/>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11074F"/>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E16D30"/>
    <w:rsid w:val="00E33169"/>
    <w:rsid w:val="00E70904"/>
    <w:rsid w:val="00EF44B1"/>
    <w:rsid w:val="00F35AA0"/>
    <w:rsid w:val="01483803"/>
    <w:rsid w:val="024B0C39"/>
    <w:rsid w:val="03505487"/>
    <w:rsid w:val="03815F5B"/>
    <w:rsid w:val="040A35F6"/>
    <w:rsid w:val="0499596F"/>
    <w:rsid w:val="059A0D07"/>
    <w:rsid w:val="063825D0"/>
    <w:rsid w:val="06822BC0"/>
    <w:rsid w:val="06D2141D"/>
    <w:rsid w:val="06EE634A"/>
    <w:rsid w:val="07F54CC4"/>
    <w:rsid w:val="0858422F"/>
    <w:rsid w:val="08974BFD"/>
    <w:rsid w:val="08E971E5"/>
    <w:rsid w:val="09D10DFC"/>
    <w:rsid w:val="09DD51D9"/>
    <w:rsid w:val="0A390A36"/>
    <w:rsid w:val="0A8128A6"/>
    <w:rsid w:val="0AAC1F80"/>
    <w:rsid w:val="0AF50EF3"/>
    <w:rsid w:val="0AFE5281"/>
    <w:rsid w:val="0BF32A1B"/>
    <w:rsid w:val="0C756054"/>
    <w:rsid w:val="0C9F2CC9"/>
    <w:rsid w:val="0E3E0CC6"/>
    <w:rsid w:val="0E4D667A"/>
    <w:rsid w:val="0F3E4A23"/>
    <w:rsid w:val="101B2738"/>
    <w:rsid w:val="103F331C"/>
    <w:rsid w:val="10BD2C22"/>
    <w:rsid w:val="11A8316B"/>
    <w:rsid w:val="12181E8B"/>
    <w:rsid w:val="12B27065"/>
    <w:rsid w:val="135C40EF"/>
    <w:rsid w:val="14154BA6"/>
    <w:rsid w:val="14EA0DF3"/>
    <w:rsid w:val="17244A7D"/>
    <w:rsid w:val="173F11C2"/>
    <w:rsid w:val="176902A5"/>
    <w:rsid w:val="197F0609"/>
    <w:rsid w:val="199B4DC7"/>
    <w:rsid w:val="1A8D531F"/>
    <w:rsid w:val="1B626A45"/>
    <w:rsid w:val="1BC928AF"/>
    <w:rsid w:val="1BDE5B69"/>
    <w:rsid w:val="1C39461B"/>
    <w:rsid w:val="1CD42826"/>
    <w:rsid w:val="1D21355F"/>
    <w:rsid w:val="1DA56906"/>
    <w:rsid w:val="1DA94ACD"/>
    <w:rsid w:val="1DE464F1"/>
    <w:rsid w:val="1EC64E0D"/>
    <w:rsid w:val="1F4B7DB2"/>
    <w:rsid w:val="1FD62D8B"/>
    <w:rsid w:val="201F35FF"/>
    <w:rsid w:val="20DF250A"/>
    <w:rsid w:val="212E0B96"/>
    <w:rsid w:val="21493DB8"/>
    <w:rsid w:val="214A6604"/>
    <w:rsid w:val="22056255"/>
    <w:rsid w:val="229449FC"/>
    <w:rsid w:val="22987C80"/>
    <w:rsid w:val="22F47B26"/>
    <w:rsid w:val="22F9465A"/>
    <w:rsid w:val="238E70D9"/>
    <w:rsid w:val="23F07CC0"/>
    <w:rsid w:val="24192CCC"/>
    <w:rsid w:val="24937281"/>
    <w:rsid w:val="24BD019D"/>
    <w:rsid w:val="25736E87"/>
    <w:rsid w:val="25A8667B"/>
    <w:rsid w:val="260137D3"/>
    <w:rsid w:val="26663423"/>
    <w:rsid w:val="26D96C25"/>
    <w:rsid w:val="272C49D8"/>
    <w:rsid w:val="275B5ED3"/>
    <w:rsid w:val="27743553"/>
    <w:rsid w:val="27C63642"/>
    <w:rsid w:val="28BD17D8"/>
    <w:rsid w:val="28FE64A7"/>
    <w:rsid w:val="29843404"/>
    <w:rsid w:val="29E5023C"/>
    <w:rsid w:val="2A0A2C6B"/>
    <w:rsid w:val="2A1F2219"/>
    <w:rsid w:val="2AFF5A32"/>
    <w:rsid w:val="2B2369E5"/>
    <w:rsid w:val="2B7251E1"/>
    <w:rsid w:val="2BE81E7E"/>
    <w:rsid w:val="2BEC2C5B"/>
    <w:rsid w:val="2D285479"/>
    <w:rsid w:val="2D371B10"/>
    <w:rsid w:val="2DDE7366"/>
    <w:rsid w:val="2E34353A"/>
    <w:rsid w:val="2F2465C2"/>
    <w:rsid w:val="2F3857DA"/>
    <w:rsid w:val="2F4E0442"/>
    <w:rsid w:val="2FC51030"/>
    <w:rsid w:val="2FCF7E00"/>
    <w:rsid w:val="30BC778A"/>
    <w:rsid w:val="32B3496C"/>
    <w:rsid w:val="32C5706C"/>
    <w:rsid w:val="331B57CB"/>
    <w:rsid w:val="339E1DE7"/>
    <w:rsid w:val="33B31D3B"/>
    <w:rsid w:val="35115DC8"/>
    <w:rsid w:val="35513C99"/>
    <w:rsid w:val="35F940C6"/>
    <w:rsid w:val="368862C1"/>
    <w:rsid w:val="370D06CF"/>
    <w:rsid w:val="378F652A"/>
    <w:rsid w:val="39115CAE"/>
    <w:rsid w:val="39A66CD4"/>
    <w:rsid w:val="3A681804"/>
    <w:rsid w:val="3B61020D"/>
    <w:rsid w:val="3B786A6D"/>
    <w:rsid w:val="3BA7216B"/>
    <w:rsid w:val="3CD52CE1"/>
    <w:rsid w:val="3D545FC0"/>
    <w:rsid w:val="3D644E2E"/>
    <w:rsid w:val="3DC43F06"/>
    <w:rsid w:val="3DC62410"/>
    <w:rsid w:val="3E9675D1"/>
    <w:rsid w:val="3EC2486F"/>
    <w:rsid w:val="3EE87B38"/>
    <w:rsid w:val="3FC66177"/>
    <w:rsid w:val="40590FF3"/>
    <w:rsid w:val="409225F3"/>
    <w:rsid w:val="410F2E6A"/>
    <w:rsid w:val="4237512A"/>
    <w:rsid w:val="42D92A4E"/>
    <w:rsid w:val="43211201"/>
    <w:rsid w:val="43247147"/>
    <w:rsid w:val="43423E1A"/>
    <w:rsid w:val="43594F3A"/>
    <w:rsid w:val="43FD12A5"/>
    <w:rsid w:val="4430136C"/>
    <w:rsid w:val="44682056"/>
    <w:rsid w:val="448C5766"/>
    <w:rsid w:val="455526A3"/>
    <w:rsid w:val="45A821CA"/>
    <w:rsid w:val="45C26B83"/>
    <w:rsid w:val="474F3C3A"/>
    <w:rsid w:val="47EB5E39"/>
    <w:rsid w:val="486809D7"/>
    <w:rsid w:val="487E39DA"/>
    <w:rsid w:val="48A03FB8"/>
    <w:rsid w:val="49120EA2"/>
    <w:rsid w:val="4971398B"/>
    <w:rsid w:val="49D852E2"/>
    <w:rsid w:val="49DB74EB"/>
    <w:rsid w:val="49FA10D3"/>
    <w:rsid w:val="4A315760"/>
    <w:rsid w:val="4AA81DDE"/>
    <w:rsid w:val="4AB0382B"/>
    <w:rsid w:val="4AF75FEE"/>
    <w:rsid w:val="4BB145FC"/>
    <w:rsid w:val="4C213989"/>
    <w:rsid w:val="4C265857"/>
    <w:rsid w:val="4C4662E2"/>
    <w:rsid w:val="4CC66486"/>
    <w:rsid w:val="4D08208E"/>
    <w:rsid w:val="4DA427B8"/>
    <w:rsid w:val="4DD55E0E"/>
    <w:rsid w:val="4E5B1788"/>
    <w:rsid w:val="4E5B18F5"/>
    <w:rsid w:val="4E614E8C"/>
    <w:rsid w:val="4EF8256A"/>
    <w:rsid w:val="4F156DA4"/>
    <w:rsid w:val="4F3100F7"/>
    <w:rsid w:val="4F705A97"/>
    <w:rsid w:val="4F92645E"/>
    <w:rsid w:val="50383296"/>
    <w:rsid w:val="50FC1E5C"/>
    <w:rsid w:val="51356E6B"/>
    <w:rsid w:val="51947F4D"/>
    <w:rsid w:val="51B20A00"/>
    <w:rsid w:val="52291C03"/>
    <w:rsid w:val="52651861"/>
    <w:rsid w:val="53BF0EBF"/>
    <w:rsid w:val="55002E2B"/>
    <w:rsid w:val="563B1129"/>
    <w:rsid w:val="566B50C2"/>
    <w:rsid w:val="569868B5"/>
    <w:rsid w:val="56A47A68"/>
    <w:rsid w:val="56BB059B"/>
    <w:rsid w:val="57134180"/>
    <w:rsid w:val="572B4C67"/>
    <w:rsid w:val="57322B18"/>
    <w:rsid w:val="579A595F"/>
    <w:rsid w:val="57DB0597"/>
    <w:rsid w:val="58247FB1"/>
    <w:rsid w:val="586F057C"/>
    <w:rsid w:val="58745C86"/>
    <w:rsid w:val="590D612E"/>
    <w:rsid w:val="59943063"/>
    <w:rsid w:val="5A4022D8"/>
    <w:rsid w:val="5AC742D4"/>
    <w:rsid w:val="5BD02E9B"/>
    <w:rsid w:val="5C390B77"/>
    <w:rsid w:val="5CA6463D"/>
    <w:rsid w:val="5CD7166A"/>
    <w:rsid w:val="5CFB3A31"/>
    <w:rsid w:val="5DF56952"/>
    <w:rsid w:val="5E161070"/>
    <w:rsid w:val="5E257AA0"/>
    <w:rsid w:val="5ED152D3"/>
    <w:rsid w:val="5EF6481A"/>
    <w:rsid w:val="5F694E5D"/>
    <w:rsid w:val="60926942"/>
    <w:rsid w:val="611F6817"/>
    <w:rsid w:val="61B769D4"/>
    <w:rsid w:val="61C8459F"/>
    <w:rsid w:val="61EF09B0"/>
    <w:rsid w:val="620C21F5"/>
    <w:rsid w:val="62C0166D"/>
    <w:rsid w:val="632D0F69"/>
    <w:rsid w:val="6331450D"/>
    <w:rsid w:val="646A55C6"/>
    <w:rsid w:val="64CE4D32"/>
    <w:rsid w:val="64EB6F1A"/>
    <w:rsid w:val="65D474AE"/>
    <w:rsid w:val="66CA1754"/>
    <w:rsid w:val="66F411D4"/>
    <w:rsid w:val="670C7188"/>
    <w:rsid w:val="67A24EA5"/>
    <w:rsid w:val="690A7CA0"/>
    <w:rsid w:val="692A7C23"/>
    <w:rsid w:val="694935D4"/>
    <w:rsid w:val="69840B73"/>
    <w:rsid w:val="6A536CC7"/>
    <w:rsid w:val="6B715130"/>
    <w:rsid w:val="6BBA4360"/>
    <w:rsid w:val="6BE4330B"/>
    <w:rsid w:val="6C123DF7"/>
    <w:rsid w:val="6D3B2E45"/>
    <w:rsid w:val="6F1E65D4"/>
    <w:rsid w:val="6F266C86"/>
    <w:rsid w:val="6F4E18AE"/>
    <w:rsid w:val="6F5042C2"/>
    <w:rsid w:val="700C6A66"/>
    <w:rsid w:val="702659CB"/>
    <w:rsid w:val="710366E7"/>
    <w:rsid w:val="7145633B"/>
    <w:rsid w:val="71A32D60"/>
    <w:rsid w:val="71C709BE"/>
    <w:rsid w:val="71D81DE7"/>
    <w:rsid w:val="725314DA"/>
    <w:rsid w:val="727D124C"/>
    <w:rsid w:val="72F45585"/>
    <w:rsid w:val="74281A3A"/>
    <w:rsid w:val="74316312"/>
    <w:rsid w:val="74451182"/>
    <w:rsid w:val="74B62F5E"/>
    <w:rsid w:val="763048EA"/>
    <w:rsid w:val="769673E5"/>
    <w:rsid w:val="769F61D4"/>
    <w:rsid w:val="76B757F0"/>
    <w:rsid w:val="76F06510"/>
    <w:rsid w:val="780D5DCB"/>
    <w:rsid w:val="780F13C8"/>
    <w:rsid w:val="78D5705E"/>
    <w:rsid w:val="792365C5"/>
    <w:rsid w:val="7A8B2B38"/>
    <w:rsid w:val="7A9A375E"/>
    <w:rsid w:val="7AEB283B"/>
    <w:rsid w:val="7B6C0014"/>
    <w:rsid w:val="7B802A86"/>
    <w:rsid w:val="7B8A2627"/>
    <w:rsid w:val="7BA36E5F"/>
    <w:rsid w:val="7BB8157F"/>
    <w:rsid w:val="7BF545DA"/>
    <w:rsid w:val="7C385448"/>
    <w:rsid w:val="7CD1689B"/>
    <w:rsid w:val="7CDC52A5"/>
    <w:rsid w:val="7D811A5C"/>
    <w:rsid w:val="7D8C2C45"/>
    <w:rsid w:val="7DBE31A3"/>
    <w:rsid w:val="7E3F313E"/>
    <w:rsid w:val="7ED409F7"/>
    <w:rsid w:val="7F26453C"/>
    <w:rsid w:val="7FCF37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3</TotalTime>
  <ScaleCrop>false</ScaleCrop>
  <LinksUpToDate>false</LinksUpToDate>
  <CharactersWithSpaces>1834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2020-09-14T03:34:04Z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KSORubyTemplateID" linkTarget="0">
    <vt:lpwstr>6</vt:lpwstr>
  </property>
</Properties>
</file>