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bookmarkStart w:id="1" w:name="_GoBack"/>
      <w:bookmarkEnd w:id="1"/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2038037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eastAsia="zh-CN"/>
        </w:rPr>
        <w:t>秘书专业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单元九：沟通礼仪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</w:t>
            </w: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hint="eastAsia" w:ascii="宋体" w:hAnsi="宋体"/>
          <w:b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审核时间：201</w:t>
      </w:r>
      <w:r>
        <w:rPr>
          <w:rFonts w:hint="eastAsia"/>
          <w:sz w:val="28"/>
          <w:szCs w:val="28"/>
          <w:lang w:val="en-US" w:eastAsia="zh-CN"/>
        </w:rPr>
        <w:t>9.2.28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10BD2C22"/>
    <w:rsid w:val="21AE6178"/>
    <w:rsid w:val="22987C80"/>
    <w:rsid w:val="24192CCC"/>
    <w:rsid w:val="35EF6C20"/>
    <w:rsid w:val="36C831FB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1</TotalTime>
  <ScaleCrop>false</ScaleCrop>
  <LinksUpToDate>false</LinksUpToDate>
  <CharactersWithSpaces>4393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lenovo</cp:lastModifiedBy>
  <cp:lastPrinted>2018-09-01T03:51:00Z</cp:lastPrinted>
  <dcterms:modified xsi:type="dcterms:W3CDTF">2019-03-21T11:22:40Z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