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宋体" w:hAnsi="宋体" w:eastAsia="宋体"/>
          <w:sz w:val="6"/>
          <w:szCs w:val="6"/>
          <w:lang w:eastAsia="zh-CN"/>
        </w:rPr>
      </w:pPr>
      <w:r>
        <w:rPr>
          <w:rFonts w:hint="eastAsia" w:ascii="宋体" w:hAnsi="宋体" w:eastAsia="宋体"/>
          <w:sz w:val="6"/>
          <w:szCs w:val="6"/>
          <w:lang w:eastAsia="zh-CN"/>
        </w:rPr>
        <w:t>\+</w:t>
      </w:r>
    </w:p>
    <w:p>
      <w:pPr>
        <w:snapToGrid w:val="0"/>
        <w:jc w:val="center"/>
        <w:rPr>
          <w:rFonts w:hint="eastAsia" w:ascii="宋体" w:hAnsi="宋体" w:eastAsia="宋体"/>
          <w:sz w:val="6"/>
          <w:szCs w:val="6"/>
          <w:lang w:eastAsia="zh-CN"/>
        </w:rPr>
      </w:pPr>
    </w:p>
    <w:p>
      <w:pPr>
        <w:snapToGrid w:val="0"/>
        <w:jc w:val="center"/>
        <w:rPr>
          <w:rFonts w:hint="eastAsia" w:ascii="宋体" w:hAnsi="宋体" w:eastAsia="宋体"/>
          <w:sz w:val="6"/>
          <w:szCs w:val="6"/>
          <w:lang w:eastAsia="zh-CN"/>
        </w:rPr>
      </w:pPr>
    </w:p>
    <w:p>
      <w:pPr>
        <w:snapToGrid w:val="0"/>
        <w:jc w:val="center"/>
        <w:rPr>
          <w:rFonts w:hint="eastAsia" w:ascii="宋体" w:hAnsi="宋体" w:eastAsia="宋体"/>
          <w:sz w:val="6"/>
          <w:szCs w:val="6"/>
          <w:lang w:eastAsia="zh-CN"/>
        </w:rPr>
      </w:pPr>
    </w:p>
    <w:p>
      <w:pPr>
        <w:snapToGrid w:val="0"/>
        <w:jc w:val="center"/>
        <w:rPr>
          <w:rFonts w:hint="eastAsia" w:ascii="宋体" w:hAnsi="宋体" w:eastAsia="宋体"/>
          <w:sz w:val="6"/>
          <w:szCs w:val="6"/>
          <w:lang w:eastAsia="zh-CN"/>
        </w:rPr>
      </w:pPr>
    </w:p>
    <w:p>
      <w:pPr>
        <w:snapToGrid w:val="0"/>
        <w:jc w:val="center"/>
        <w:rPr>
          <w:rFonts w:hint="eastAsia" w:ascii="宋体" w:hAnsi="宋体" w:eastAsia="宋体"/>
          <w:sz w:val="6"/>
          <w:szCs w:val="6"/>
          <w:lang w:eastAsia="zh-CN"/>
        </w:rPr>
      </w:pPr>
    </w:p>
    <w:p>
      <w:pPr>
        <w:snapToGrid w:val="0"/>
        <w:jc w:val="center"/>
        <w:rPr>
          <w:rFonts w:hint="eastAsia" w:ascii="宋体" w:hAnsi="宋体" w:eastAsia="宋体"/>
          <w:sz w:val="6"/>
          <w:szCs w:val="6"/>
          <w:lang w:eastAsia="zh-CN"/>
        </w:rPr>
      </w:pPr>
    </w:p>
    <w:p>
      <w:pPr>
        <w:snapToGrid w:val="0"/>
        <w:jc w:val="center"/>
        <w:rPr>
          <w:rFonts w:hint="eastAsia" w:ascii="宋体" w:hAnsi="宋体" w:eastAsia="宋体"/>
          <w:sz w:val="6"/>
          <w:szCs w:val="6"/>
          <w:lang w:eastAsia="zh-CN"/>
        </w:rPr>
      </w:pPr>
    </w:p>
    <w:p>
      <w:pPr>
        <w:snapToGrid w:val="0"/>
        <w:jc w:val="center"/>
        <w:rPr>
          <w:rFonts w:hint="eastAsia" w:eastAsia="宋体"/>
          <w:sz w:val="6"/>
          <w:szCs w:val="6"/>
          <w:lang w:eastAsia="zh-CN"/>
        </w:rPr>
      </w:pPr>
    </w:p>
    <w:p>
      <w:pPr>
        <w:snapToGrid w:val="0"/>
        <w:jc w:val="center"/>
        <w:rPr>
          <w:rFonts w:hint="eastAsia" w:eastAsia="宋体"/>
          <w:sz w:val="6"/>
          <w:szCs w:val="6"/>
          <w:lang w:eastAsia="zh-CN"/>
        </w:rPr>
      </w:pPr>
    </w:p>
    <w:p>
      <w:pPr>
        <w:snapToGrid w:val="0"/>
        <w:jc w:val="center"/>
        <w:rPr>
          <w:rFonts w:hint="eastAsia"/>
          <w:sz w:val="6"/>
          <w:szCs w:val="6"/>
        </w:rPr>
      </w:pPr>
    </w:p>
    <w:p>
      <w:pPr>
        <w:snapToGrid w:val="0"/>
        <w:spacing w:before="180" w:beforeLines="5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noWrap w:val="0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sz w:val="20"/>
                <w:szCs w:val="20"/>
              </w:rPr>
              <w:t>203013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品牌营销与管理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noWrap w:val="0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noWrap w:val="0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李艺冉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19064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@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gench.edu.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c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noWrap w:val="0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广告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数创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1、2、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教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noWrap w:val="0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noWrap w:val="0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时间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一至周五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下午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13点——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16点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  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default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地点: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新闻传播学院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210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 xml:space="preserve"> 电话：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>1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5300813831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noWrap w:val="0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noWrap w:val="0"/>
            <w:vAlign w:val="center"/>
          </w:tcPr>
          <w:p>
            <w:pPr>
              <w:snapToGrid w:val="0"/>
              <w:spacing w:line="288" w:lineRule="auto"/>
              <w:ind w:firstLine="413" w:firstLineChars="196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  <w:lang w:eastAsia="zh-CN"/>
              </w:rPr>
              <w:t>《品牌</w:t>
            </w: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  <w:lang w:val="en-US" w:eastAsia="zh-CN"/>
              </w:rPr>
              <w:t>管理》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张路等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 xml:space="preserve">著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上海交通大学出版社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 xml:space="preserve"> 201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12.1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noWrap w:val="0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noWrap w:val="0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卫军英主编</w:t>
            </w: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  <w:lang w:eastAsia="zh-CN"/>
              </w:rPr>
              <w:t>《品牌营销管理》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(第2版高等院校品牌管理系列教材) 经济管理出版社。出版日期2017年4月1日。 ISBN：ISBN：9787509648841。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  <w:lang w:eastAsia="zh-CN"/>
              </w:rPr>
              <w:t>《品牌营销学》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(第二版) 作者：郭洪著。出版社：西南财经大学出版社，出版日期2015-07-01。ISBN：9787550420465。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  <w:lang w:eastAsia="zh-CN"/>
              </w:rPr>
              <w:t>《品牌策划与管理》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（第二版，通用管理系列教材·市场营销）。作者：程宇宁著。出版社：中国人民大学出版社。出版日期2014-09-1。ISBN：9787300198651。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  <w:lang w:eastAsia="zh-CN"/>
              </w:rPr>
              <w:t>《品牌营销与管理》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作者：董秀春著。出版社：中国财政经济出版社。出版日期：2013年10月1日。ISBN：9787509548165。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2268"/>
        <w:gridCol w:w="19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57"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品牌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知识概述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品牌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商标及营销概述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品牌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识别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作业展示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品牌营销策划与管理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品牌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管理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品牌符号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品牌七大要素关系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ind w:firstLine="360" w:firstLineChars="20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品牌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形象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作业展示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ind w:firstLine="360" w:firstLineChars="20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整合营销传播 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品牌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营销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报告</w:t>
            </w:r>
          </w:p>
        </w:tc>
      </w:tr>
    </w:tbl>
    <w:p>
      <w:pPr>
        <w:snapToGrid w:val="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78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napToGrid w:val="0"/>
              <w:spacing w:before="180" w:beforeLines="50" w:after="180" w:afterLines="50"/>
              <w:rPr>
                <w:rFonts w:ascii="宋体" w:hAnsi="宋体" w:eastAsia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18"/>
                <w:szCs w:val="18"/>
              </w:rPr>
              <w:t>总评构成（1+</w:t>
            </w:r>
            <w:r>
              <w:rPr>
                <w:rFonts w:ascii="宋体" w:hAnsi="宋体" w:eastAsia="宋体"/>
                <w:bCs/>
                <w:color w:val="000000"/>
                <w:sz w:val="18"/>
                <w:szCs w:val="18"/>
              </w:rPr>
              <w:t>X</w:t>
            </w:r>
            <w:r>
              <w:rPr>
                <w:rFonts w:hint="eastAsia" w:ascii="宋体" w:hAnsi="宋体" w:eastAsia="宋体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103" w:type="dxa"/>
            <w:noWrap w:val="0"/>
            <w:vAlign w:val="top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18"/>
                <w:szCs w:val="18"/>
              </w:rPr>
              <w:t>评价方式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18"/>
                <w:szCs w:val="18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X1</w:t>
            </w:r>
          </w:p>
        </w:tc>
        <w:tc>
          <w:tcPr>
            <w:tcW w:w="5103" w:type="dxa"/>
            <w:noWrap w:val="0"/>
            <w:vAlign w:val="top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考勤，</w:t>
            </w: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课堂展示及口头报告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X2</w:t>
            </w:r>
          </w:p>
        </w:tc>
        <w:tc>
          <w:tcPr>
            <w:tcW w:w="5103" w:type="dxa"/>
            <w:noWrap w:val="0"/>
            <w:vAlign w:val="top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品牌管理报告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X3</w:t>
            </w:r>
          </w:p>
        </w:tc>
        <w:tc>
          <w:tcPr>
            <w:tcW w:w="5103" w:type="dxa"/>
            <w:noWrap w:val="0"/>
            <w:vAlign w:val="top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品牌营销报告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noWrap w:val="0"/>
            <w:vAlign w:val="top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noWrap w:val="0"/>
            <w:vAlign w:val="top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18"/>
                <w:szCs w:val="18"/>
              </w:rPr>
            </w:pPr>
          </w:p>
        </w:tc>
      </w:tr>
    </w:tbl>
    <w:p/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hint="eastAsia"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hint="eastAsia"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hint="eastAsia"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李艺冉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      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201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8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6"/>
        <w:rFonts w:hint="eastAsia" w:ascii="ITC Bookman Demi" w:hAnsi="ITC Bookman Demi"/>
        <w:color w:val="FFFFFF"/>
        <w:sz w:val="26"/>
        <w:szCs w:val="26"/>
      </w:rPr>
    </w:pPr>
    <w:r>
      <w:rPr>
        <w:rStyle w:val="6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6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6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6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6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6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6"/>
        <w:rFonts w:ascii="ITC Bookman Demi" w:hAnsi="ITC Bookman Demi" w:eastAsia="華康粗圓體"/>
        <w:color w:val="FFFFFF"/>
        <w:sz w:val="26"/>
        <w:szCs w:val="26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drawing>
        <wp:inline distT="0" distB="0" distL="114300" distR="114300">
          <wp:extent cx="6621780" cy="243840"/>
          <wp:effectExtent l="0" t="0" r="7620" b="3810"/>
          <wp:docPr id="2" name="图片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底線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17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ELquGNG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C6rhj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18415" b="15240"/>
          <wp:wrapTight wrapText="bothSides">
            <wp:wrapPolygon>
              <wp:start x="0" y="0"/>
              <wp:lineTo x="0" y="21600"/>
              <wp:lineTo x="21600" y="21600"/>
              <wp:lineTo x="21600" y="0"/>
              <wp:lineTo x="0" y="0"/>
            </wp:wrapPolygon>
          </wp:wrapTight>
          <wp:docPr id="1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 descr="untitled"/>
                  <pic:cNvPicPr>
                    <a:picLocks noChangeAspect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A5C44"/>
    <w:rsid w:val="126A3188"/>
    <w:rsid w:val="479706E2"/>
    <w:rsid w:val="61842433"/>
    <w:rsid w:val="62556178"/>
    <w:rsid w:val="63FA5C44"/>
    <w:rsid w:val="6B030470"/>
    <w:rsid w:val="6EB27251"/>
    <w:rsid w:val="7CC52F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2019-07-27T09:35:00Z</dcterms:created>
  <dc:creator>后海大鲨鱼</dc:creator>
  <cp:lastModifiedBy>后海大鲨鱼</cp:lastModifiedBy>
  <dcterms:modified xsi:type="dcterms:W3CDTF">2019-09-01T06:48:31Z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