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30230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沟通与交流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Meiwu_2006@163.com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19级秘书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在线上课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三下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7~8节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管理沟通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 贾朝莉，罗春芳主编，湖南师范大学出版社 2017年5月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《沟通与项目管理》、《商务沟通》、《有效沟通》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人际交往与沟通技巧概述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收集无效沟通视频材料并分享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有效的交谈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人际沟通微技术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人际沟通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冲突处理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过程性考核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会见与面谈沟通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电话沟通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组织沟通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会议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商务活动沟通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策划一次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访谈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活动，拟写活动策划方案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过程性考核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活动策划与实施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分享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危机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压力沟通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职场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沟通礼仪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未来组织的管理沟通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综合测试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课堂表现与回答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视频分享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访谈实践活动</w:t>
            </w: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项目或</w:t>
            </w: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演讲活动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参观、边讲边练、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”及过程考核“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”，其中“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”为教学大纲中规定的形式；“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”和“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吴美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徐磊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21.2.26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114300" distR="114300">
          <wp:extent cx="6581775" cy="247650"/>
          <wp:effectExtent l="0" t="0" r="9525" b="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1775" cy="2476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102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ascii="宋体" w:hAnsi="宋体" w:eastAsia="宋体"/>
                        <w:spacing w:val="20"/>
                      </w:rPr>
                      <w:t>SJQU-Q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-0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A0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50331545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3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B50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F6F"/>
    <w:rsid w:val="004A33E0"/>
    <w:rsid w:val="004A59AC"/>
    <w:rsid w:val="004A649E"/>
    <w:rsid w:val="004B04C5"/>
    <w:rsid w:val="004B3566"/>
    <w:rsid w:val="004C1D3E"/>
    <w:rsid w:val="004C3BBC"/>
    <w:rsid w:val="004C7613"/>
    <w:rsid w:val="004D07ED"/>
    <w:rsid w:val="004E412A"/>
    <w:rsid w:val="004E68E7"/>
    <w:rsid w:val="004F0DAB"/>
    <w:rsid w:val="005003D0"/>
    <w:rsid w:val="00500511"/>
    <w:rsid w:val="00503BC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B05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6E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614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5F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682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0DE"/>
    <w:rsid w:val="00D7212C"/>
    <w:rsid w:val="00D77CB5"/>
    <w:rsid w:val="00D8521A"/>
    <w:rsid w:val="00D8659C"/>
    <w:rsid w:val="00D87174"/>
    <w:rsid w:val="00D87438"/>
    <w:rsid w:val="00D92235"/>
    <w:rsid w:val="00D9605A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B6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195131"/>
    <w:rsid w:val="0250298D"/>
    <w:rsid w:val="09093FC3"/>
    <w:rsid w:val="0B02141F"/>
    <w:rsid w:val="0DB76A4A"/>
    <w:rsid w:val="0F0B2F09"/>
    <w:rsid w:val="11743BD5"/>
    <w:rsid w:val="14A74D67"/>
    <w:rsid w:val="199D2E85"/>
    <w:rsid w:val="1B9B294B"/>
    <w:rsid w:val="2E59298A"/>
    <w:rsid w:val="37E50B00"/>
    <w:rsid w:val="3E0D719D"/>
    <w:rsid w:val="49DF08B3"/>
    <w:rsid w:val="65310993"/>
    <w:rsid w:val="6E256335"/>
    <w:rsid w:val="700912C5"/>
    <w:rsid w:val="703035FD"/>
    <w:rsid w:val="74F62C86"/>
    <w:rsid w:val="777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falt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link w:val="2"/>
    <w:semiHidden/>
    <w:qFormat/>
    <w:uiPriority w:val="99"/>
    <w:rPr>
      <w:rFonts w:eastAsia="PMingLiUfalt"/>
      <w:sz w:val="18"/>
      <w:szCs w:val="18"/>
      <w:lang w:eastAsia="zh-TW"/>
    </w:rPr>
  </w:style>
  <w:style w:type="character" w:customStyle="1" w:styleId="10">
    <w:name w:val="页眉 Char"/>
    <w:link w:val="3"/>
    <w:semiHidden/>
    <w:qFormat/>
    <w:uiPriority w:val="99"/>
    <w:rPr>
      <w:rFonts w:eastAsia="PMingLiUfalt"/>
      <w:sz w:val="18"/>
      <w:szCs w:val="18"/>
      <w:lang w:eastAsia="zh-TW"/>
    </w:rPr>
  </w:style>
  <w:style w:type="paragraph" w:customStyle="1" w:styleId="11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2018-03-06T07:39:00Z</dcterms:created>
  <dc:creator>*****</dc:creator>
  <cp:lastModifiedBy>欣田</cp:lastModifiedBy>
  <cp:lastPrinted>2018-09-01T03:46:00Z</cp:lastPrinted>
  <dcterms:modified xsi:type="dcterms:W3CDTF">2021-03-07T09:27:19Z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