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sz w:val="32"/>
          <w:szCs w:val="32"/>
          <w:highlight w:val="none"/>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lang w:eastAsia="zh-CN"/>
        </w:rPr>
        <w:fldChar w:fldCharType="separate"/>
      </w:r>
      <w:r>
        <w:rPr>
          <w:lang w:eastAsia="zh-CN"/>
        </w:rPr>
        <w:fldChar w:fldCharType="end"/>
      </w:r>
      <w:r>
        <w:rPr>
          <w:lang w:eastAsia="zh-CN"/>
        </w:rPr>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r>
        <w:rPr>
          <w:rFonts w:hint="eastAsia" w:ascii="黑体" w:hAnsi="黑体" w:eastAsia="黑体"/>
          <w:sz w:val="32"/>
          <w:szCs w:val="32"/>
          <w:highlight w:val="none"/>
        </w:rPr>
        <w:t>上海建桥学院课程教学进度计划表</w:t>
      </w:r>
    </w:p>
    <w:p>
      <w:pPr>
        <w:snapToGrid w:val="0"/>
        <w:spacing w:afterLines="50"/>
        <w:jc w:val="center"/>
        <w:rPr>
          <w:rFonts w:ascii="仿宋" w:hAnsi="仿宋" w:eastAsia="仿宋"/>
          <w:sz w:val="28"/>
          <w:szCs w:val="28"/>
          <w:highlight w:val="none"/>
        </w:rPr>
      </w:pPr>
    </w:p>
    <w:p>
      <w:pPr>
        <w:snapToGrid w:val="0"/>
        <w:spacing w:beforeLines="50" w:afterLines="50"/>
        <w:rPr>
          <w:rFonts w:ascii="仿宋" w:hAnsi="仿宋" w:eastAsia="仿宋"/>
          <w:b/>
          <w:color w:val="000000"/>
          <w:sz w:val="28"/>
          <w:szCs w:val="28"/>
          <w:highlight w:val="none"/>
        </w:rPr>
      </w:pPr>
      <w:r>
        <w:rPr>
          <w:rFonts w:ascii="仿宋" w:hAnsi="仿宋" w:eastAsia="仿宋"/>
          <w:b/>
          <w:color w:val="000000"/>
          <w:sz w:val="28"/>
          <w:szCs w:val="28"/>
          <w:highlight w:val="none"/>
        </w:rPr>
        <w:t>一</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基本信息</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bCs/>
                <w:color w:val="000000"/>
                <w:szCs w:val="21"/>
                <w:highlight w:val="none"/>
              </w:rPr>
              <w:t>课程代码</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rPr>
              <w:t>203041</w:t>
            </w:r>
            <w:r>
              <w:rPr>
                <w:rFonts w:hint="eastAsia" w:ascii="宋体" w:hAnsi="宋体" w:eastAsia="宋体"/>
                <w:szCs w:val="21"/>
                <w:highlight w:val="none"/>
                <w:lang w:val="en-US" w:eastAsia="zh-CN"/>
              </w:rPr>
              <w:t>0</w:t>
            </w:r>
          </w:p>
        </w:tc>
        <w:tc>
          <w:tcPr>
            <w:tcW w:w="1701"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kern w:val="0"/>
                <w:szCs w:val="21"/>
                <w:highlight w:val="none"/>
              </w:rPr>
              <w:t>课程名称</w:t>
            </w:r>
          </w:p>
        </w:tc>
        <w:tc>
          <w:tcPr>
            <w:tcW w:w="2552"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数据新闻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hint="eastAsia" w:ascii="黑体" w:hAnsi="黑体" w:eastAsia="黑体"/>
                <w:kern w:val="0"/>
                <w:szCs w:val="21"/>
                <w:highlight w:val="none"/>
              </w:rPr>
              <w:t>课程学分</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bCs/>
                <w:color w:val="000000"/>
                <w:szCs w:val="21"/>
                <w:highlight w:val="none"/>
              </w:rPr>
              <w:t>总学时</w:t>
            </w:r>
          </w:p>
        </w:tc>
        <w:tc>
          <w:tcPr>
            <w:tcW w:w="2552"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授课教</w:t>
            </w:r>
            <w:r>
              <w:rPr>
                <w:rFonts w:hint="eastAsia" w:ascii="黑体" w:hAnsi="黑体" w:eastAsia="黑体"/>
                <w:kern w:val="0"/>
                <w:szCs w:val="21"/>
                <w:highlight w:val="none"/>
              </w:rPr>
              <w:t>师</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蔡福恩</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教师邮箱</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14057@gench.edu.cn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szCs w:val="21"/>
                <w:highlight w:val="none"/>
              </w:rPr>
              <w:t>上课</w:t>
            </w:r>
            <w:r>
              <w:rPr>
                <w:rFonts w:hint="eastAsia" w:ascii="黑体" w:hAnsi="黑体" w:eastAsia="黑体"/>
                <w:kern w:val="0"/>
                <w:szCs w:val="21"/>
                <w:highlight w:val="none"/>
              </w:rPr>
              <w:t>班级</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eastAsia="zh-CN"/>
              </w:rPr>
              <w:t>新闻全媒体</w:t>
            </w:r>
            <w:r>
              <w:rPr>
                <w:rFonts w:hint="eastAsia" w:ascii="宋体" w:hAnsi="宋体" w:eastAsia="宋体"/>
                <w:szCs w:val="21"/>
                <w:highlight w:val="none"/>
                <w:lang w:val="en-US" w:eastAsia="zh-CN"/>
              </w:rPr>
              <w:t>B18-1</w:t>
            </w:r>
          </w:p>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val="en-US" w:eastAsia="zh-CN"/>
              </w:rPr>
              <w:t>新闻全媒体B18-2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上课教室</w:t>
            </w:r>
          </w:p>
        </w:tc>
        <w:tc>
          <w:tcPr>
            <w:tcW w:w="2552"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eastAsia="zh-CN"/>
              </w:rPr>
              <w:t>一教</w:t>
            </w:r>
            <w:r>
              <w:rPr>
                <w:rFonts w:hint="eastAsia" w:ascii="宋体" w:hAnsi="宋体" w:eastAsia="宋体"/>
                <w:szCs w:val="21"/>
                <w:highlight w:val="none"/>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答疑时间</w:t>
            </w:r>
          </w:p>
        </w:tc>
        <w:tc>
          <w:tcPr>
            <w:tcW w:w="7371" w:type="dxa"/>
            <w:gridSpan w:val="3"/>
            <w:vAlign w:val="center"/>
          </w:tcPr>
          <w:p>
            <w:pPr>
              <w:tabs>
                <w:tab w:val="left" w:pos="532"/>
              </w:tabs>
              <w:spacing w:line="340" w:lineRule="exact"/>
              <w:rPr>
                <w:rFonts w:hint="default" w:ascii="黑体" w:hAnsi="黑体" w:eastAsia="黑体"/>
                <w:kern w:val="0"/>
                <w:szCs w:val="21"/>
                <w:highlight w:val="none"/>
                <w:lang w:val="en-US"/>
              </w:rPr>
            </w:pPr>
            <w:r>
              <w:rPr>
                <w:rFonts w:hint="eastAsia" w:ascii="宋体" w:hAnsi="宋体" w:eastAsia="宋体"/>
                <w:szCs w:val="21"/>
                <w:highlight w:val="none"/>
                <w:lang w:val="en-US" w:eastAsia="zh-CN"/>
              </w:rPr>
              <w:t>时间 : 周一3-4节（10:00-11：35）    地点: 学院楼210  电话：68191288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主要教材</w:t>
            </w:r>
          </w:p>
        </w:tc>
        <w:tc>
          <w:tcPr>
            <w:tcW w:w="7371" w:type="dxa"/>
            <w:gridSpan w:val="3"/>
            <w:vAlign w:val="center"/>
          </w:tcPr>
          <w:p>
            <w:pPr>
              <w:snapToGrid w:val="0"/>
              <w:spacing w:line="288" w:lineRule="auto"/>
              <w:rPr>
                <w:rFonts w:ascii="宋体" w:hAnsi="宋体"/>
                <w:kern w:val="0"/>
                <w:szCs w:val="21"/>
                <w:highlight w:val="none"/>
              </w:rPr>
            </w:pPr>
            <w:r>
              <w:rPr>
                <w:rFonts w:hint="eastAsia" w:ascii="宋体" w:hAnsi="宋体" w:eastAsia="宋体"/>
                <w:color w:val="000000"/>
                <w:sz w:val="20"/>
                <w:szCs w:val="20"/>
                <w:highlight w:val="none"/>
                <w:lang w:val="en-US" w:eastAsia="zh-CN"/>
              </w:rPr>
              <w:t>《数据新闻：操作与实践》毛良斌主编 浙江大学出版社 2019年8月第1版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参考资料</w:t>
            </w:r>
          </w:p>
        </w:tc>
        <w:tc>
          <w:tcPr>
            <w:tcW w:w="7371" w:type="dxa"/>
            <w:gridSpan w:val="3"/>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eastAsia="zh-CN"/>
              </w:rPr>
              <w:t>《数据新闻入门教程》</w:t>
            </w:r>
            <w:r>
              <w:rPr>
                <w:rFonts w:hint="eastAsia" w:ascii="宋体" w:hAnsi="宋体" w:eastAsia="宋体"/>
                <w:color w:val="000000"/>
                <w:sz w:val="20"/>
                <w:szCs w:val="20"/>
                <w:highlight w:val="none"/>
                <w:lang w:val="en-US" w:eastAsia="zh-CN"/>
              </w:rPr>
              <w:t xml:space="preserve">陈积银、曹树林主编 西安交通大学出版社 2016年8月第1版  </w:t>
            </w:r>
          </w:p>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eastAsia="宋体"/>
                <w:color w:val="000000"/>
                <w:sz w:val="20"/>
                <w:szCs w:val="20"/>
                <w:highlight w:val="none"/>
                <w:lang w:eastAsia="zh-CN"/>
              </w:rPr>
              <w:t>《数据新闻概论》</w:t>
            </w:r>
            <w:r>
              <w:rPr>
                <w:rFonts w:hint="eastAsia" w:ascii="宋体" w:hAnsi="宋体" w:eastAsia="宋体"/>
                <w:color w:val="000000"/>
                <w:sz w:val="20"/>
                <w:szCs w:val="20"/>
                <w:highlight w:val="none"/>
                <w:lang w:val="en-US" w:eastAsia="zh-CN"/>
              </w:rPr>
              <w:t xml:space="preserve">方洁编著 中国人民大学出版社 2015年6月第1版  </w:t>
            </w:r>
          </w:p>
          <w:p>
            <w:pPr>
              <w:tabs>
                <w:tab w:val="left" w:pos="532"/>
              </w:tabs>
              <w:spacing w:line="340" w:lineRule="exact"/>
              <w:rPr>
                <w:rFonts w:ascii="宋体" w:hAnsi="宋体"/>
                <w:kern w:val="0"/>
                <w:szCs w:val="21"/>
                <w:highlight w:val="none"/>
              </w:rPr>
            </w:pPr>
            <w:r>
              <w:rPr>
                <w:rFonts w:hint="eastAsia" w:ascii="宋体" w:hAnsi="宋体" w:eastAsia="宋体"/>
                <w:color w:val="000000"/>
                <w:sz w:val="20"/>
                <w:szCs w:val="20"/>
                <w:highlight w:val="none"/>
                <w:lang w:val="en-US" w:eastAsia="zh-CN"/>
              </w:rPr>
              <w:t>《信息图表编辑》许向东著 中国人民大学出版社 2015年7月第1版</w:t>
            </w:r>
          </w:p>
        </w:tc>
      </w:tr>
    </w:tbl>
    <w:p>
      <w:pPr>
        <w:snapToGrid w:val="0"/>
        <w:spacing w:line="340" w:lineRule="exact"/>
        <w:rPr>
          <w:rFonts w:ascii="Calibri" w:hAnsi="Calibri" w:eastAsia="宋体"/>
          <w:b/>
          <w:color w:val="000000"/>
          <w:szCs w:val="20"/>
          <w:highlight w:val="none"/>
        </w:rPr>
      </w:pPr>
    </w:p>
    <w:p>
      <w:pPr>
        <w:snapToGrid w:val="0"/>
        <w:spacing w:beforeLines="5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二、课程教学进度</w:t>
      </w:r>
    </w:p>
    <w:tbl>
      <w:tblPr>
        <w:tblStyle w:val="5"/>
        <w:tblW w:w="8789" w:type="dxa"/>
        <w:tblInd w:w="108" w:type="dxa"/>
        <w:tblLayout w:type="fixed"/>
        <w:tblCellMar>
          <w:top w:w="0" w:type="dxa"/>
          <w:left w:w="0" w:type="dxa"/>
          <w:bottom w:w="0" w:type="dxa"/>
          <w:right w:w="0" w:type="dxa"/>
        </w:tblCellMar>
      </w:tblPr>
      <w:tblGrid>
        <w:gridCol w:w="659"/>
        <w:gridCol w:w="4064"/>
        <w:gridCol w:w="2081"/>
        <w:gridCol w:w="1985"/>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周次</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教学内容</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作业</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介绍通过本课程要达到的知识与能力目标；</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介绍课程1+X考核方式（表现性评价和达成度评价）；</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介绍数据新闻的概念与特征</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介绍数据新闻产生的背景和数据新闻在全球的发展历程</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结合案例讲解数据的概念与分类</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结合案例讲解数据分析的概念与流程</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根据同学们的意愿、兴趣和研究方向进行分组，形成数据分析报告小组，每组约2-3人。课代表在下一次课将分组名单提交给任课教师。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讲解查询和获取公开发表数据的三种方法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介绍查询和获取公开数据的六个信息源</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结合案例分析如何使用不同信息源的公开数据进行数据分析报告的撰写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尝试在“国家数据”网站上查询国家各部门的数据，探索小组数据分析报告的选题。</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介绍CNKI E-Study软件的安装、使用、在网络数据挖掘与分析方面的作用</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介绍火车采集器的安装、使用、批量爬取数据的方法、应用及批量爬取数据的原理</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介绍八爪鱼采集器的安装、使用、构建Codebook（编码薄）的方法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1、在自己电脑上安装CNKI E-Study，就“网络数据挖掘与分析”主题，构建自己的文献库。</w:t>
            </w:r>
          </w:p>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eastAsia="宋体" w:cs="Arial"/>
                <w:kern w:val="0"/>
                <w:sz w:val="21"/>
                <w:szCs w:val="21"/>
                <w:highlight w:val="none"/>
                <w:lang w:eastAsia="zh-CN"/>
              </w:rPr>
              <w:t>2、在自己电脑上安装八爪鱼采集器，就各小组选题在八爪鱼简易采集模式中的搜狗搜索和知网项目，进行选题Codebook（编码薄）的构建。</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掌握采集未公开发表的数据的三种方法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掌握申请政府信息公开的步骤</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掌握调查问卷设计的方法与技巧</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掌握使用“众包”的方式来采集数据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eastAsia="宋体" w:cs="Arial"/>
                <w:kern w:val="0"/>
                <w:sz w:val="21"/>
                <w:szCs w:val="21"/>
                <w:highlight w:val="none"/>
                <w:lang w:eastAsia="zh-CN"/>
              </w:rPr>
              <w:t>结合选题需要，尝试使用政府信息公开申请的方式向有关行政机构进行数据信息的索取。</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介绍统计分析概述</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讲解单变量描述统计分析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讲解多变量描述统计分析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讲解推断统计分析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讲解问卷调查的统计分析思路</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结合案例介绍数据分析时实用的数据分析方法</w:t>
            </w:r>
          </w:p>
          <w:p>
            <w:pPr>
              <w:widowControl/>
              <w:jc w:val="both"/>
              <w:rPr>
                <w:rFonts w:hint="eastAsia" w:asciiTheme="majorEastAsia" w:hAnsiTheme="majorEastAsia" w:eastAsiaTheme="majorEastAsia" w:cstheme="majorEastAsia"/>
                <w:sz w:val="21"/>
                <w:szCs w:val="21"/>
                <w:highlight w:val="none"/>
                <w:lang w:val="en-US" w:eastAsia="zh-CN"/>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课堂讲授、案例分析、课堂答疑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eastAsia="宋体" w:cs="Arial"/>
                <w:kern w:val="0"/>
                <w:sz w:val="21"/>
                <w:szCs w:val="21"/>
                <w:highlight w:val="none"/>
                <w:lang w:val="en-US" w:eastAsia="zh-CN"/>
              </w:rPr>
              <w:t>围绕选题背景、选题意义、内容结构、数据来源、数据分析方法来撰写数据分析报告摘要，周日前将以小组同学名字命名的摘要（word格式）发给课代表，课代表收齐后打包发给任课教师。</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数据新闻课程基础知识随堂测验</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随堂测试</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eastAsia="宋体" w:cs="Arial"/>
                <w:kern w:val="0"/>
                <w:sz w:val="21"/>
                <w:szCs w:val="21"/>
                <w:highlight w:val="none"/>
                <w:lang w:val="en-US" w:eastAsia="zh-CN"/>
              </w:rPr>
              <w:t>通过查看随堂测试参考答案，进一步理解和掌握数据分析基础知识。</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通过案例讲解处理数值数据的方法</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通过案例讲解处理文本数据的方法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结合各组选题，在《导入Tableau的数据模板（Codebook）》中构建自己小组数值数据和文本数据的编码薄。</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结合各小组选题数据探讨如何处理数值数值和文本数据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课堂讨论、课堂演示、课堂答疑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完善小组数据新闻的编码薄：《导入Tableau的数据模板（Codebook）》。</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9</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Tableau软件的安装与激活、数据导入与统计制图。</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课后在自己电脑上安装最新版本的Tableau软件。</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10</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lang w:val="en-US" w:eastAsia="zh-CN"/>
              </w:rPr>
              <w:t>介绍使用Tableau软件进行数据可视化及其构成要素，讲解静态可视化和动态可视化两种报道呈现的方式。</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对小组数据分析报告通过Tableau软件尝试可视化操作。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11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介绍如何在新闻报道中应用数据可视化。</w:t>
            </w:r>
          </w:p>
          <w:p>
            <w:pPr>
              <w:widowControl/>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选择一个数据新闻选题进行案例分析。</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确定数据分析报告的逻辑性，完成可视化操作。</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lang w:val="en-US" w:eastAsia="zh-CN"/>
              </w:rPr>
              <w:t>组织第1-3组学生进行数据新闻选题汇报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sz w:val="21"/>
                <w:szCs w:val="21"/>
                <w:highlight w:val="none"/>
                <w:lang w:val="en-US" w:eastAsia="zh-CN"/>
              </w:rPr>
              <w:t>完成小组数据分析报告的PPT汇报资料。</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组织第4-6组学生进行数据新闻选题汇报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组织第7-10组学生进行数据新闻选题汇报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组织第11-14组学生进行数据新闻选题汇报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参加新闻传播学院第三届数据新闻大赛（16周的周四3:00pm，新闻传播学院四楼多媒体演播厅）</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在新闻传播学院多媒体演播厅以小组为单位进行数据新闻展示，嘉宾评分、点评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考试周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r>
    </w:tbl>
    <w:p>
      <w:pPr>
        <w:snapToGrid w:val="0"/>
        <w:rPr>
          <w:rFonts w:ascii="仿宋" w:hAnsi="仿宋" w:eastAsia="仿宋"/>
          <w:b/>
          <w:color w:val="000000"/>
          <w:sz w:val="28"/>
          <w:szCs w:val="28"/>
          <w:highlight w:val="none"/>
        </w:rPr>
      </w:pPr>
    </w:p>
    <w:p>
      <w:pPr>
        <w:snapToGrid w:val="0"/>
        <w:rPr>
          <w:rFonts w:ascii="仿宋" w:hAnsi="仿宋" w:eastAsia="仿宋"/>
          <w:b/>
          <w:color w:val="000000"/>
          <w:sz w:val="28"/>
          <w:szCs w:val="28"/>
          <w:highlight w:val="none"/>
        </w:rPr>
      </w:pPr>
    </w:p>
    <w:p>
      <w:pPr>
        <w:snapToGrid w:val="0"/>
        <w:rPr>
          <w:rFonts w:ascii="仿宋" w:hAnsi="仿宋" w:eastAsia="仿宋"/>
          <w:b/>
          <w:color w:val="000000"/>
          <w:sz w:val="28"/>
          <w:szCs w:val="28"/>
          <w:highlight w:val="none"/>
        </w:rPr>
      </w:pPr>
    </w:p>
    <w:p>
      <w:pPr>
        <w:snapToGrid w:val="0"/>
        <w:spacing w:beforeLines="10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三、评价方式以及</w:t>
      </w:r>
      <w:r>
        <w:rPr>
          <w:rFonts w:ascii="仿宋" w:hAnsi="仿宋" w:eastAsia="仿宋"/>
          <w:b/>
          <w:color w:val="000000"/>
          <w:sz w:val="28"/>
          <w:szCs w:val="28"/>
          <w:highlight w:val="none"/>
        </w:rPr>
        <w:t>在总评</w:t>
      </w:r>
      <w:r>
        <w:rPr>
          <w:rFonts w:hint="eastAsia" w:ascii="仿宋" w:hAnsi="仿宋" w:eastAsia="仿宋"/>
          <w:b/>
          <w:color w:val="000000"/>
          <w:sz w:val="28"/>
          <w:szCs w:val="28"/>
          <w:highlight w:val="none"/>
        </w:rPr>
        <w:t>成绩</w:t>
      </w:r>
      <w:r>
        <w:rPr>
          <w:rFonts w:ascii="仿宋" w:hAnsi="仿宋" w:eastAsia="仿宋"/>
          <w:b/>
          <w:color w:val="000000"/>
          <w:sz w:val="28"/>
          <w:szCs w:val="28"/>
          <w:highlight w:val="none"/>
        </w:rPr>
        <w:t>中的比</w:t>
      </w:r>
      <w:r>
        <w:rPr>
          <w:rFonts w:hint="eastAsia" w:ascii="仿宋" w:hAnsi="仿宋" w:eastAsia="仿宋"/>
          <w:b/>
          <w:color w:val="000000"/>
          <w:sz w:val="28"/>
          <w:szCs w:val="28"/>
          <w:highlight w:val="none"/>
        </w:rPr>
        <w:t>例</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 w:val="21"/>
                <w:szCs w:val="21"/>
                <w:highlight w:val="none"/>
              </w:rPr>
            </w:pPr>
            <w:r>
              <w:rPr>
                <w:rFonts w:hint="eastAsia" w:ascii="宋体" w:hAnsi="宋体"/>
                <w:bCs/>
                <w:color w:val="000000"/>
                <w:sz w:val="21"/>
                <w:szCs w:val="21"/>
                <w:highlight w:val="none"/>
              </w:rPr>
              <w:t>总评构成（1+</w:t>
            </w:r>
            <w:r>
              <w:rPr>
                <w:rFonts w:ascii="宋体" w:hAnsi="宋体"/>
                <w:bCs/>
                <w:color w:val="000000"/>
                <w:sz w:val="21"/>
                <w:szCs w:val="21"/>
                <w:highlight w:val="none"/>
              </w:rPr>
              <w:t>X</w:t>
            </w:r>
            <w:r>
              <w:rPr>
                <w:rFonts w:hint="eastAsia" w:ascii="宋体" w:hAnsi="宋体"/>
                <w:bCs/>
                <w:color w:val="000000"/>
                <w:sz w:val="21"/>
                <w:szCs w:val="21"/>
                <w:highlight w:val="none"/>
              </w:rPr>
              <w:t>）</w:t>
            </w:r>
          </w:p>
        </w:tc>
        <w:tc>
          <w:tcPr>
            <w:tcW w:w="5103"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评价方式</w:t>
            </w:r>
          </w:p>
        </w:tc>
        <w:tc>
          <w:tcPr>
            <w:tcW w:w="2127"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lang w:val="en-US" w:eastAsia="zh-CN"/>
              </w:rPr>
              <w:t>X</w:t>
            </w:r>
            <w:r>
              <w:rPr>
                <w:rFonts w:hint="eastAsia" w:ascii="宋体" w:hAnsi="宋体"/>
                <w:bCs/>
                <w:color w:val="000000"/>
                <w:sz w:val="21"/>
                <w:szCs w:val="21"/>
                <w:highlight w:val="none"/>
              </w:rPr>
              <w:t>1</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纸笔测验（</w:t>
            </w:r>
            <w:r>
              <w:rPr>
                <w:rFonts w:hint="eastAsia" w:ascii="宋体" w:hAnsi="宋体"/>
                <w:bCs/>
                <w:color w:val="000000"/>
                <w:sz w:val="21"/>
                <w:szCs w:val="21"/>
                <w:highlight w:val="none"/>
                <w:lang w:val="en-US" w:eastAsia="zh-CN"/>
              </w:rPr>
              <w:t>11周随堂考</w:t>
            </w:r>
            <w:r>
              <w:rPr>
                <w:rFonts w:hint="eastAsia" w:ascii="宋体" w:hAnsi="宋体"/>
                <w:bCs/>
                <w:color w:val="000000"/>
                <w:sz w:val="21"/>
                <w:szCs w:val="21"/>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2</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课堂小组汇报</w:t>
            </w:r>
            <w:r>
              <w:rPr>
                <w:rFonts w:hint="eastAsia" w:ascii="宋体" w:hAnsi="宋体" w:eastAsia="宋体"/>
                <w:bCs/>
                <w:color w:val="000000"/>
                <w:sz w:val="21"/>
                <w:szCs w:val="21"/>
                <w:highlight w:val="none"/>
                <w:lang w:eastAsia="zh-CN"/>
              </w:rPr>
              <w:t>（</w:t>
            </w:r>
            <w:r>
              <w:rPr>
                <w:rFonts w:hint="eastAsia" w:ascii="宋体" w:hAnsi="宋体" w:eastAsia="宋体"/>
                <w:bCs/>
                <w:color w:val="000000"/>
                <w:sz w:val="21"/>
                <w:szCs w:val="21"/>
                <w:highlight w:val="none"/>
                <w:lang w:val="en-US" w:eastAsia="zh-CN"/>
              </w:rPr>
              <w:t>12-15周课堂小组汇报</w:t>
            </w:r>
            <w:r>
              <w:rPr>
                <w:rFonts w:hint="eastAsia" w:ascii="宋体" w:hAnsi="宋体" w:eastAsia="宋体"/>
                <w:bCs/>
                <w:color w:val="000000"/>
                <w:sz w:val="21"/>
                <w:szCs w:val="21"/>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3</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数据新闻作品（以网页形式呈现，参加第三</w:t>
            </w:r>
            <w:bookmarkStart w:id="0" w:name="_GoBack"/>
            <w:bookmarkEnd w:id="0"/>
            <w:r>
              <w:rPr>
                <w:rFonts w:hint="eastAsia" w:ascii="宋体" w:hAnsi="宋体"/>
                <w:bCs/>
                <w:color w:val="000000"/>
                <w:sz w:val="21"/>
                <w:szCs w:val="21"/>
                <w:highlight w:val="none"/>
                <w:lang w:eastAsia="zh-CN"/>
              </w:rPr>
              <w:t>届学院数据新闻大赛）</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50%</w:t>
            </w:r>
          </w:p>
        </w:tc>
      </w:tr>
    </w:tbl>
    <w:p>
      <w:pPr>
        <w:rPr>
          <w:highlight w:val="none"/>
        </w:rPr>
      </w:pPr>
    </w:p>
    <w:p>
      <w:pPr>
        <w:tabs>
          <w:tab w:val="left" w:pos="3210"/>
          <w:tab w:val="left" w:pos="7560"/>
        </w:tabs>
        <w:spacing w:beforeLines="20" w:line="360" w:lineRule="auto"/>
        <w:outlineLvl w:val="0"/>
        <w:rPr>
          <w:rFonts w:ascii="仿宋" w:hAnsi="仿宋" w:eastAsia="仿宋"/>
          <w:color w:val="000000"/>
          <w:position w:val="-20"/>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3175" b="762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pacing w:line="480" w:lineRule="auto"/>
        <w:jc w:val="center"/>
        <w:rPr>
          <w:rFonts w:asciiTheme="minorEastAsia" w:hAnsiTheme="minorEastAsia"/>
          <w:b/>
          <w:sz w:val="30"/>
          <w:szCs w:val="30"/>
          <w:highlight w:val="none"/>
        </w:rPr>
      </w:pP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2020.09   </w:t>
      </w:r>
    </w:p>
    <w:p>
      <w:pPr>
        <w:spacing w:line="480" w:lineRule="auto"/>
        <w:jc w:val="center"/>
        <w:rPr>
          <w:rFonts w:asciiTheme="minorEastAsia" w:hAnsiTheme="minorEastAsia"/>
          <w:b/>
          <w:sz w:val="30"/>
          <w:szCs w:val="30"/>
          <w:highlight w:val="none"/>
        </w:rPr>
      </w:pPr>
    </w:p>
    <w:p>
      <w:pPr>
        <w:spacing w:line="360" w:lineRule="auto"/>
        <w:jc w:val="left"/>
        <w:rPr>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3110"/>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258A2"/>
    <w:rsid w:val="00094DC3"/>
    <w:rsid w:val="00110E08"/>
    <w:rsid w:val="001132C1"/>
    <w:rsid w:val="00192F6A"/>
    <w:rsid w:val="001D6DC5"/>
    <w:rsid w:val="00213E36"/>
    <w:rsid w:val="00224FB2"/>
    <w:rsid w:val="00285EDC"/>
    <w:rsid w:val="002D314A"/>
    <w:rsid w:val="00332A6C"/>
    <w:rsid w:val="0033403C"/>
    <w:rsid w:val="00362612"/>
    <w:rsid w:val="003806A5"/>
    <w:rsid w:val="003853EB"/>
    <w:rsid w:val="003E3787"/>
    <w:rsid w:val="003F23E9"/>
    <w:rsid w:val="0040617D"/>
    <w:rsid w:val="00573B5F"/>
    <w:rsid w:val="00582971"/>
    <w:rsid w:val="005F4B41"/>
    <w:rsid w:val="00693490"/>
    <w:rsid w:val="006E76FC"/>
    <w:rsid w:val="006F3DEB"/>
    <w:rsid w:val="006F66B8"/>
    <w:rsid w:val="007242AE"/>
    <w:rsid w:val="0076043C"/>
    <w:rsid w:val="007672D3"/>
    <w:rsid w:val="00823D04"/>
    <w:rsid w:val="00872D5C"/>
    <w:rsid w:val="008B5EFE"/>
    <w:rsid w:val="008C711D"/>
    <w:rsid w:val="00961DD1"/>
    <w:rsid w:val="009D382B"/>
    <w:rsid w:val="009D53BF"/>
    <w:rsid w:val="00A73726"/>
    <w:rsid w:val="00A92DDA"/>
    <w:rsid w:val="00A93D1B"/>
    <w:rsid w:val="00B10416"/>
    <w:rsid w:val="00B233C1"/>
    <w:rsid w:val="00B657DC"/>
    <w:rsid w:val="00B70BCB"/>
    <w:rsid w:val="00C41CA4"/>
    <w:rsid w:val="00C65888"/>
    <w:rsid w:val="00C854F7"/>
    <w:rsid w:val="00C93FED"/>
    <w:rsid w:val="00CA7D92"/>
    <w:rsid w:val="00CD2BA5"/>
    <w:rsid w:val="00CE008D"/>
    <w:rsid w:val="00D22ABD"/>
    <w:rsid w:val="00D258A2"/>
    <w:rsid w:val="00D400C2"/>
    <w:rsid w:val="00E1716E"/>
    <w:rsid w:val="00E17933"/>
    <w:rsid w:val="00E45DCF"/>
    <w:rsid w:val="00E6068A"/>
    <w:rsid w:val="00E82144"/>
    <w:rsid w:val="00E843E0"/>
    <w:rsid w:val="00E92E67"/>
    <w:rsid w:val="00F04CBC"/>
    <w:rsid w:val="00F1626D"/>
    <w:rsid w:val="00F50BF7"/>
    <w:rsid w:val="00F6276D"/>
    <w:rsid w:val="00FE214F"/>
    <w:rsid w:val="029B26EA"/>
    <w:rsid w:val="04645E32"/>
    <w:rsid w:val="054C5ED8"/>
    <w:rsid w:val="06BB68DF"/>
    <w:rsid w:val="079E221E"/>
    <w:rsid w:val="07BA5B90"/>
    <w:rsid w:val="08B40E0E"/>
    <w:rsid w:val="0B3E0421"/>
    <w:rsid w:val="1286373D"/>
    <w:rsid w:val="15302717"/>
    <w:rsid w:val="194E6DD2"/>
    <w:rsid w:val="1DB542DD"/>
    <w:rsid w:val="1EA80238"/>
    <w:rsid w:val="206844FB"/>
    <w:rsid w:val="22533BCA"/>
    <w:rsid w:val="22727555"/>
    <w:rsid w:val="23A77642"/>
    <w:rsid w:val="24037389"/>
    <w:rsid w:val="254165CF"/>
    <w:rsid w:val="26111EE2"/>
    <w:rsid w:val="26C84C1D"/>
    <w:rsid w:val="26D05571"/>
    <w:rsid w:val="28A0310D"/>
    <w:rsid w:val="291D32A7"/>
    <w:rsid w:val="299E3148"/>
    <w:rsid w:val="2B6460ED"/>
    <w:rsid w:val="2D3777D4"/>
    <w:rsid w:val="336D7D03"/>
    <w:rsid w:val="33993544"/>
    <w:rsid w:val="33DA67EC"/>
    <w:rsid w:val="340F4A2F"/>
    <w:rsid w:val="356627A1"/>
    <w:rsid w:val="357D6C1A"/>
    <w:rsid w:val="36C420DC"/>
    <w:rsid w:val="3FDB13F8"/>
    <w:rsid w:val="40774F87"/>
    <w:rsid w:val="44F73023"/>
    <w:rsid w:val="4C8D731A"/>
    <w:rsid w:val="4E3B6579"/>
    <w:rsid w:val="4E82523C"/>
    <w:rsid w:val="4F3E7D02"/>
    <w:rsid w:val="51A23D32"/>
    <w:rsid w:val="54641FAA"/>
    <w:rsid w:val="570E373E"/>
    <w:rsid w:val="5844371E"/>
    <w:rsid w:val="594A3289"/>
    <w:rsid w:val="5D652194"/>
    <w:rsid w:val="602C69B7"/>
    <w:rsid w:val="627F6515"/>
    <w:rsid w:val="62955310"/>
    <w:rsid w:val="69165736"/>
    <w:rsid w:val="6B890171"/>
    <w:rsid w:val="6E5B4D81"/>
    <w:rsid w:val="6EE65608"/>
    <w:rsid w:val="77DB2C7E"/>
    <w:rsid w:val="79A64933"/>
    <w:rsid w:val="7A5A4DE7"/>
    <w:rsid w:val="7A8D41DE"/>
    <w:rsid w:val="7B165D85"/>
    <w:rsid w:val="7D5674BC"/>
    <w:rsid w:val="7F443A2A"/>
    <w:rsid w:val="7FE6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AF5E-A3A9-4567-B245-52E2C398AD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904</Words>
  <Characters>5153</Characters>
  <Lines>42</Lines>
  <Paragraphs>12</Paragraphs>
  <TotalTime>1</TotalTime>
  <ScaleCrop>false</ScaleCrop>
  <LinksUpToDate>false</LinksUpToDate>
  <CharactersWithSpaces>6045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2016-12-28T11:28:00Z</dcterms:created>
  <dc:creator>微软用户</dc:creator>
  <cp:lastModifiedBy>admin</cp:lastModifiedBy>
  <dcterms:modified xsi:type="dcterms:W3CDTF">2020-09-08T08:49:21Z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