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instrText xml:space="preserve"> HYPERLINK "http://jwxt.gench.edu.cn/eams/syllabusTeacher.action" \t "http://jwxt.gench.edu.cn/eams/_blank" </w:instrTex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2030205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《新闻法规与新闻伦理》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新闻世新B16-1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二教40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（周四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:周四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0-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0   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《新闻传播法规与职业道德教程》，黄瑚主编，复旦大学出版社，最新版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《新闻记者培训教材》，柳斌杰主编，人民出版社，最新版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《新闻传播伦理与法规教程》，陈绚著，中国传媒大学出版社，最新版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《新闻伦理与法规》，罗彬著，北京师范大学出版社，最新版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《网络传播法导论》，邵国松著，中国人民大学出版社，2017年版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437"/>
        <w:gridCol w:w="1559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专题一绪论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本课程的学科性质和学习要求；掌握学习本课程的方法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专题二新闻传播道德自律（一）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新闻伦理失范行为的表现、危害、产生的原因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专题二新闻传播道德自律（二）</w:t>
            </w:r>
          </w:p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如何防范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新闻伦理失范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专题三新闻传播与宪法、国家安全、社会秩序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宪法对言论出版自由，以及对媒体及公民的批评建议权和监督权的保护和规定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专题四新闻传播与司法公正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国庆放假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专题五新闻传播与人格权（一）：名誉权、隐私权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专题六新闻传播与人格权（二）：姓名权、荣誉权、侵权责任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专题七新闻传播与著作权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专题八新闻传播与程序法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刑事诉讼法、民事诉讼法和行政诉讼法与新闻传播活动有关的规定，了解相关的行为规范。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8"/>
        <w:tblpPr w:leftFromText="180" w:rightFromText="180" w:vertAnchor="text" w:horzAnchor="margin" w:tblpY="10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期末</w:t>
            </w:r>
            <w:r>
              <w:rPr>
                <w:rFonts w:hint="eastAsia"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综合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徐磊   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马玉瑛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 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2018年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89429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semiHidden/>
    <w:unhideWhenUsed/>
    <w:uiPriority w:val="0"/>
    <w:rPr>
      <w:color w:val="810098"/>
      <w:u w:val="none"/>
    </w:rPr>
  </w:style>
  <w:style w:type="character" w:styleId="7">
    <w:name w:val="Hyperlink"/>
    <w:basedOn w:val="4"/>
    <w:qFormat/>
    <w:uiPriority w:val="0"/>
    <w:rPr>
      <w:color w:val="000080"/>
      <w:u w:val="none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4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F13B7-43CB-47A0-A324-F7C3C503E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178</Words>
  <Characters>1020</Characters>
  <Lines>8</Lines>
  <Paragraphs>2</Paragraphs>
  <TotalTime>1</TotalTime>
  <ScaleCrop>false</ScaleCrop>
  <LinksUpToDate>false</LinksUpToDate>
  <CharactersWithSpaces>1196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2018-03-10T11:00:00Z</dcterms:created>
  <dc:creator>*****</dc:creator>
  <cp:lastModifiedBy>Administrator</cp:lastModifiedBy>
  <cp:lastPrinted>2015-03-18T03:45:00Z</cp:lastPrinted>
  <dcterms:modified xsi:type="dcterms:W3CDTF">2018-09-06T01:14:22Z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