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6" w:firstLineChars="1283"/>
        <w:rPr>
          <w:sz w:val="30"/>
          <w:szCs w:val="30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sz w:val="30"/>
          <w:szCs w:val="30"/>
          <w:lang w:val="en-US" w:eastAsia="zh-CN"/>
        </w:rPr>
        <w:t>趣味推理</w:t>
      </w:r>
      <w:r>
        <w:rPr>
          <w:rFonts w:hint="eastAsia"/>
          <w:b/>
          <w:sz w:val="28"/>
          <w:szCs w:val="30"/>
          <w:highlight w:val="none"/>
        </w:rPr>
        <w:t>】</w:t>
      </w:r>
    </w:p>
    <w:p>
      <w:pPr>
        <w:ind w:firstLine="2799" w:firstLineChars="933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Interesting </w:t>
      </w:r>
      <w:r>
        <w:rPr>
          <w:rFonts w:hint="eastAsia"/>
          <w:sz w:val="30"/>
          <w:szCs w:val="30"/>
          <w:lang w:val="en-US" w:eastAsia="zh-CN"/>
        </w:rPr>
        <w:t>T</w:t>
      </w:r>
      <w:r>
        <w:rPr>
          <w:rFonts w:hint="eastAsia"/>
          <w:sz w:val="30"/>
          <w:szCs w:val="30"/>
        </w:rPr>
        <w:t xml:space="preserve">heory of </w:t>
      </w:r>
      <w:r>
        <w:rPr>
          <w:rFonts w:hint="eastAsia"/>
          <w:sz w:val="30"/>
          <w:szCs w:val="30"/>
          <w:lang w:val="en-US" w:eastAsia="zh-CN"/>
        </w:rPr>
        <w:t>R</w:t>
      </w:r>
      <w:r>
        <w:rPr>
          <w:rFonts w:hint="eastAsia"/>
          <w:sz w:val="30"/>
          <w:szCs w:val="30"/>
        </w:rPr>
        <w:t xml:space="preserve">easoning </w:t>
      </w: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color w:val="00808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课程代码：</w:t>
      </w:r>
      <w:r>
        <w:rPr>
          <w:rFonts w:hint="eastAsia" w:ascii="宋体" w:hAnsi="宋体" w:eastAsia="宋体"/>
          <w:sz w:val="21"/>
          <w:szCs w:val="21"/>
          <w:lang w:eastAsia="zh-CN"/>
        </w:rPr>
        <w:t>203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8061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课程学分：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2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面向专业：</w:t>
      </w:r>
      <w:r>
        <w:rPr>
          <w:rFonts w:hint="eastAsia" w:ascii="Calibri" w:hAnsi="Calibri" w:eastAsia="宋体"/>
          <w:color w:val="000000"/>
          <w:sz w:val="20"/>
          <w:szCs w:val="20"/>
          <w:lang w:eastAsia="zh-CN"/>
        </w:rPr>
        <w:t>本科各专业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课程性质：</w:t>
      </w:r>
      <w:r>
        <w:rPr>
          <w:rFonts w:hint="eastAsia" w:ascii="Calibri" w:hAnsi="Calibri" w:eastAsia="宋体"/>
          <w:color w:val="000000"/>
          <w:sz w:val="20"/>
          <w:szCs w:val="20"/>
        </w:rPr>
        <w:t>通识教育选修课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b/>
          <w:bCs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Calibri" w:hAnsi="Calibri" w:eastAsia="宋体"/>
          <w:b w:val="0"/>
          <w:bCs w:val="0"/>
          <w:color w:val="000000"/>
          <w:sz w:val="20"/>
          <w:szCs w:val="20"/>
          <w:lang w:eastAsia="zh-CN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rFonts w:hint="eastAsia"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使用教材：</w:t>
      </w:r>
      <w:r>
        <w:rPr>
          <w:rFonts w:hint="eastAsia" w:ascii="Calibri" w:hAnsi="Calibri" w:eastAsia="宋体"/>
          <w:color w:val="000000"/>
          <w:sz w:val="20"/>
          <w:szCs w:val="20"/>
        </w:rPr>
        <w:t>《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趣味逻辑学</w:t>
      </w:r>
      <w:r>
        <w:rPr>
          <w:rFonts w:hint="eastAsia" w:ascii="Calibri" w:hAnsi="Calibri" w:eastAsia="宋体"/>
          <w:color w:val="000000"/>
          <w:sz w:val="20"/>
          <w:szCs w:val="20"/>
        </w:rPr>
        <w:t>》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董栋，</w:t>
      </w:r>
      <w:r>
        <w:rPr>
          <w:rFonts w:hint="eastAsia" w:ascii="Calibri" w:hAnsi="Calibri" w:eastAsia="宋体"/>
          <w:color w:val="000000"/>
          <w:sz w:val="20"/>
          <w:szCs w:val="20"/>
        </w:rPr>
        <w:t>清华大学出版社; 第1版 2016年2月1日</w:t>
      </w:r>
    </w:p>
    <w:p>
      <w:pPr>
        <w:snapToGrid w:val="0"/>
        <w:spacing w:line="288" w:lineRule="auto"/>
        <w:ind w:firstLine="400" w:firstLineChars="200"/>
        <w:rPr>
          <w:rFonts w:hint="eastAsia"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  <w:lang w:eastAsia="zh-CN"/>
        </w:rPr>
        <w:t>《</w:t>
      </w:r>
      <w:r>
        <w:rPr>
          <w:rFonts w:hint="eastAsia" w:ascii="Calibri" w:hAnsi="Calibri" w:eastAsia="宋体"/>
          <w:color w:val="000000"/>
          <w:sz w:val="20"/>
          <w:szCs w:val="20"/>
        </w:rPr>
        <w:t>趣题大师的推理问题》乔治·J·萨默斯</w:t>
      </w:r>
      <w:r>
        <w:rPr>
          <w:rFonts w:hint="eastAsia" w:ascii="Calibri" w:hAnsi="Calibri" w:eastAsia="宋体"/>
          <w:color w:val="000000"/>
          <w:sz w:val="20"/>
          <w:szCs w:val="20"/>
          <w:lang w:eastAsia="zh-CN"/>
        </w:rPr>
        <w:t>，</w:t>
      </w:r>
      <w:r>
        <w:rPr>
          <w:rFonts w:hint="eastAsia" w:ascii="Calibri" w:hAnsi="Calibri" w:eastAsia="宋体"/>
          <w:color w:val="000000"/>
          <w:sz w:val="20"/>
          <w:szCs w:val="20"/>
        </w:rPr>
        <w:t>上海科技教育出版社; 第1版 (2010年11月1日)</w:t>
      </w:r>
    </w:p>
    <w:p>
      <w:pPr>
        <w:rPr>
          <w:kern w:val="0"/>
        </w:rPr>
      </w:pP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辅助教材：</w:t>
      </w:r>
      <w:r>
        <w:rPr>
          <w:rFonts w:hint="eastAsia"/>
        </w:rPr>
        <w:t>1.</w:t>
      </w:r>
      <w:r>
        <w:rPr>
          <w:rFonts w:hint="eastAsia"/>
          <w:kern w:val="0"/>
        </w:rPr>
        <w:t>《哲学导论》，王德峰，上海人民出版社；哲学导论；</w:t>
      </w:r>
    </w:p>
    <w:p>
      <w:pPr>
        <w:rPr>
          <w:kern w:val="0"/>
        </w:rPr>
      </w:pPr>
      <w:r>
        <w:rPr>
          <w:rFonts w:hint="eastAsia"/>
          <w:kern w:val="0"/>
        </w:rPr>
        <w:t>2.《智慧之光——世界十大思想家》，王德峰、吴晓明，上海古籍出版社；</w:t>
      </w:r>
    </w:p>
    <w:p>
      <w:r>
        <w:rPr>
          <w:rFonts w:hint="eastAsia"/>
          <w:kern w:val="0"/>
        </w:rPr>
        <w:t>3.《思想家》，[英] 麦基，三联书店；</w:t>
      </w:r>
    </w:p>
    <w:p>
      <w:pPr>
        <w:rPr>
          <w:rFonts w:hint="eastAsia"/>
          <w:kern w:val="0"/>
        </w:rPr>
      </w:pPr>
      <w:r>
        <w:rPr>
          <w:rFonts w:hint="eastAsia"/>
          <w:kern w:val="0"/>
        </w:rPr>
        <w:t>4.《理想的冲突》，[美]宾克莱，商务印书馆；</w:t>
      </w:r>
    </w:p>
    <w:p>
      <w:pPr>
        <w:jc w:val="left"/>
        <w:rPr>
          <w:rFonts w:hint="eastAsia"/>
          <w:b w:val="0"/>
          <w:bCs w:val="0"/>
          <w:kern w:val="0"/>
        </w:rPr>
      </w:pPr>
      <w:r>
        <w:rPr>
          <w:rFonts w:hint="eastAsia"/>
          <w:b/>
          <w:bCs/>
          <w:lang w:val="en-US" w:eastAsia="zh-CN"/>
        </w:rPr>
        <w:t>课程网站网址</w:t>
      </w:r>
      <w:r>
        <w:rPr>
          <w:b/>
          <w:bCs/>
        </w:rPr>
        <w:t>：</w:t>
      </w:r>
      <w:r>
        <w:rPr>
          <w:rFonts w:hint="eastAsia"/>
          <w:b w:val="0"/>
          <w:bCs w:val="0"/>
        </w:rPr>
        <w:t>https://elearning.gench.edu.cn:8443/webapps/portal/execute/tabs/tabAction</w:t>
      </w:r>
    </w:p>
    <w:p>
      <w:r>
        <w:rPr>
          <w:b/>
          <w:bCs/>
        </w:rPr>
        <w:t>先修课程</w:t>
      </w:r>
      <w:r>
        <w:t>：</w:t>
      </w:r>
      <w:r>
        <w:rPr>
          <w:rFonts w:hint="eastAsia"/>
        </w:rPr>
        <w:t>无</w:t>
      </w:r>
    </w:p>
    <w:p>
      <w:pPr>
        <w:numPr>
          <w:ilvl w:val="0"/>
          <w:numId w:val="1"/>
        </w:numPr>
        <w:snapToGrid w:val="0"/>
        <w:spacing w:line="288" w:lineRule="auto"/>
        <w:ind w:left="0" w:leftChars="0" w:firstLine="0" w:firstLineChars="0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课程简介</w:t>
      </w:r>
    </w:p>
    <w:p>
      <w:pPr>
        <w:numPr>
          <w:ilvl w:val="0"/>
          <w:numId w:val="0"/>
        </w:numPr>
        <w:snapToGrid w:val="0"/>
        <w:spacing w:line="288" w:lineRule="auto"/>
        <w:ind w:leftChars="0" w:firstLine="400" w:firstLineChars="200"/>
        <w:rPr>
          <w:rFonts w:hint="eastAsia"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《趣味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推理</w:t>
      </w:r>
      <w:r>
        <w:rPr>
          <w:rFonts w:hint="eastAsia" w:ascii="Calibri" w:hAnsi="Calibri" w:eastAsia="宋体"/>
          <w:color w:val="000000"/>
          <w:sz w:val="20"/>
          <w:szCs w:val="20"/>
        </w:rPr>
        <w:t>》强调本体与思维、思维与语言的联系，着重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逻辑思维的趣味性，旨在笑声中提升学生的思辨及逻辑推理能力。本课程通过</w:t>
      </w:r>
      <w:r>
        <w:rPr>
          <w:rFonts w:hint="eastAsia" w:ascii="Calibri" w:hAnsi="Calibri" w:eastAsia="宋体"/>
          <w:color w:val="000000"/>
          <w:sz w:val="20"/>
          <w:szCs w:val="20"/>
        </w:rPr>
        <w:t>理论联系实际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的教学方法</w:t>
      </w:r>
      <w:r>
        <w:rPr>
          <w:rFonts w:hint="eastAsia" w:ascii="Calibri" w:hAnsi="Calibri" w:eastAsia="宋体"/>
          <w:color w:val="000000"/>
          <w:sz w:val="20"/>
          <w:szCs w:val="20"/>
        </w:rPr>
        <w:t>，将传统意义上的逻辑与现代的多门学科沟通起来，增强学科的适应性和启发性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及趣味性</w:t>
      </w:r>
      <w:r>
        <w:rPr>
          <w:rFonts w:hint="eastAsia" w:ascii="Calibri" w:hAnsi="Calibri" w:eastAsia="宋体"/>
          <w:color w:val="000000"/>
          <w:sz w:val="20"/>
          <w:szCs w:val="20"/>
        </w:rPr>
        <w:t>，突出逻辑学的应用性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和思辨性</w:t>
      </w:r>
      <w:r>
        <w:rPr>
          <w:rFonts w:hint="eastAsia" w:ascii="Calibri" w:hAnsi="Calibri" w:eastAsia="宋体"/>
          <w:color w:val="000000"/>
          <w:sz w:val="20"/>
          <w:szCs w:val="20"/>
        </w:rPr>
        <w:t>，在提出新观点的基础上阐述新方法。结构严谨，简明扼要，深入浅出，实例与练习丰富，结构安排符合读者的认知规律，利于读者培养运用逻辑知识的能力来解决现实中遇到的问题，使逻辑学习富有生活气息</w:t>
      </w:r>
      <w:r>
        <w:rPr>
          <w:rFonts w:hint="eastAsia" w:ascii="Calibri" w:hAnsi="Calibri" w:eastAsia="宋体"/>
          <w:color w:val="000000"/>
          <w:sz w:val="20"/>
          <w:szCs w:val="20"/>
          <w:lang w:eastAsia="zh-CN"/>
        </w:rPr>
        <w:t>、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充满趣味</w:t>
      </w:r>
      <w:r>
        <w:rPr>
          <w:rFonts w:hint="eastAsia" w:ascii="Calibri" w:hAnsi="Calibri" w:eastAsia="宋体"/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left="0" w:leftChars="0" w:firstLine="0" w:firstLineChars="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0"/>
          <w:szCs w:val="20"/>
        </w:rPr>
        <w:t>本课程面向</w:t>
      </w:r>
      <w:r>
        <w:rPr>
          <w:rFonts w:hint="eastAsia" w:ascii="宋体" w:hAnsi="宋体" w:eastAsia="宋体"/>
          <w:sz w:val="20"/>
          <w:szCs w:val="20"/>
          <w:lang w:eastAsia="zh-CN"/>
        </w:rPr>
        <w:t>全校本科各</w:t>
      </w:r>
      <w:r>
        <w:rPr>
          <w:rFonts w:hint="eastAsia" w:ascii="宋体" w:hAnsi="宋体" w:eastAsia="宋体"/>
          <w:sz w:val="20"/>
          <w:szCs w:val="20"/>
        </w:rPr>
        <w:t>专业学生，学生有无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逻辑学</w:t>
      </w:r>
      <w:r>
        <w:rPr>
          <w:rFonts w:hint="eastAsia" w:ascii="宋体" w:hAnsi="宋体" w:eastAsia="宋体"/>
          <w:sz w:val="20"/>
          <w:szCs w:val="20"/>
        </w:rPr>
        <w:t>基础知识皆可选修本课程。</w:t>
      </w:r>
    </w:p>
    <w:p>
      <w:pPr>
        <w:widowControl/>
        <w:spacing w:before="156" w:beforeLines="50" w:after="156" w:afterLines="50" w:line="288" w:lineRule="auto"/>
        <w:ind w:left="0" w:leftChars="0" w:firstLine="0" w:firstLineChars="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四、课程目标/课程预期学习成果</w:t>
      </w:r>
    </w:p>
    <w:tbl>
      <w:tblPr>
        <w:tblStyle w:val="8"/>
        <w:tblpPr w:leftFromText="180" w:rightFromText="180" w:vertAnchor="text" w:horzAnchor="page" w:tblpX="2087" w:tblpY="871"/>
        <w:tblOverlap w:val="never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4"/>
        <w:gridCol w:w="2468"/>
        <w:gridCol w:w="219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序</w:t>
            </w:r>
            <w:r>
              <w:rPr>
                <w:rFonts w:hint="eastAsia" w:ascii="Calibri" w:hAnsi="Calibri"/>
                <w:b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应用书面或口头形式，多层次多方位表达自己的观点，有效沟通。</w:t>
            </w: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讲解、课堂互动、小练习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课堂、课后练习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2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212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讲解、案例分析、课后阅读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期终课程论文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LO513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能用创新思维简单或有趣推理复杂问题或真实问题。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案列分析、讲解、课堂互动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课堂、课后练习</w:t>
            </w:r>
          </w:p>
        </w:tc>
      </w:tr>
    </w:tbl>
    <w:p>
      <w:pPr>
        <w:snapToGrid w:val="0"/>
        <w:spacing w:line="288" w:lineRule="auto"/>
        <w:rPr>
          <w:rFonts w:hint="eastAsia"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五、课程内容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</w:t>
            </w:r>
          </w:p>
        </w:tc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知识点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能力要求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1.趣味推理理论知识部分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1.知道</w:t>
            </w:r>
            <w:r>
              <w:rPr>
                <w:rFonts w:hint="eastAsia"/>
                <w:vertAlign w:val="baseline"/>
              </w:rPr>
              <w:t>专业培养目标</w:t>
            </w:r>
            <w:r>
              <w:rPr>
                <w:rFonts w:hint="eastAsia"/>
                <w:vertAlign w:val="baseline"/>
                <w:lang w:val="en-US" w:eastAsia="zh-CN"/>
              </w:rPr>
              <w:t>和</w:t>
            </w:r>
            <w:r>
              <w:rPr>
                <w:rFonts w:hint="eastAsia"/>
                <w:vertAlign w:val="baseline"/>
              </w:rPr>
              <w:t>本课程教学目标</w:t>
            </w:r>
            <w:r>
              <w:rPr>
                <w:rFonts w:hint="eastAsia"/>
                <w:vertAlign w:val="baseline"/>
                <w:lang w:val="en-US" w:eastAsia="zh-CN"/>
              </w:rPr>
              <w:t>的关系。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2.理解趣味推理所学各知识点。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3.应用认识论知识分析并改善自己现有的各种关系。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1.能列举趣味推理的知识点。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2.能应用矛盾律等定律分析解决日常生活问题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让学生认可并熟练掌握推理定理，并能主动应用定理分析解决日常生活所碰到的问题。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2.法律推理（刑侦推理   审判推理）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1.知道思维与思考的区别。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2.理解几种法律推理方法的异同。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3.应用问题思考法，综合分析给定案例各环节的主要问题，评价案例中问题的关键点。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1.能在</w:t>
            </w:r>
            <w:r>
              <w:rPr>
                <w:rFonts w:hint="eastAsia"/>
                <w:vertAlign w:val="baseline"/>
                <w:lang w:val="en-US" w:eastAsia="zh-CN"/>
              </w:rPr>
              <w:t>给定案例中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倾听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当事人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的需求和诉求点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设计自己问题思维中的各个问题。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2.用问题思考法辨别给定案例中的关键推理问题。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1.激发学生对法律推理的兴趣。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3.博弈推理 决策推理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1.知道博弈推理、决策推理在推理知识中</w:t>
            </w:r>
            <w:r>
              <w:rPr>
                <w:rFonts w:hint="eastAsia"/>
                <w:vertAlign w:val="baseline"/>
              </w:rPr>
              <w:t>的突破(哲学的开端）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2.知道博弈推理的特点，理解决策推理中推理的意义。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罗格斯（规律） 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3.理解案例中决策依赖的推理思想。并能作出合理评价。</w:t>
            </w:r>
            <w:r>
              <w:rPr>
                <w:rFonts w:hint="eastAsia"/>
                <w:vertAlign w:val="baseline"/>
              </w:rPr>
              <w:t xml:space="preserve">       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1.辨别博弈中有无推理论证的异同。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2.界定决策推理中的决策是推理的思想核心。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3.能阐释决策中博弈中推理的含义。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4.描述博弈论思想，分析博弈推理在生活中的应用。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1.对博弈和决策的理解。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2.对博弈和决策中推理重要性的把握。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3.“博弈推理”难在“自己心中所要”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推理在文学作品中的表现</w:t>
            </w:r>
          </w:p>
        </w:tc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1、</w:t>
            </w:r>
            <w:r>
              <w:rPr>
                <w:rFonts w:hint="eastAsia"/>
                <w:vertAlign w:val="baseline"/>
                <w:lang w:val="en-US" w:eastAsia="zh-CN"/>
              </w:rPr>
              <w:t>理解推理小说中</w:t>
            </w:r>
            <w:r>
              <w:rPr>
                <w:rFonts w:hint="eastAsia"/>
                <w:vertAlign w:val="baseline"/>
              </w:rPr>
              <w:t>贯穿性、全局性、不可避免性的问题的</w:t>
            </w:r>
            <w:r>
              <w:rPr>
                <w:rFonts w:hint="eastAsia"/>
                <w:vertAlign w:val="baseline"/>
                <w:lang w:val="en-US" w:eastAsia="zh-CN"/>
              </w:rPr>
              <w:t>预设和推理应用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 xml:space="preserve">  2、</w:t>
            </w:r>
            <w:r>
              <w:rPr>
                <w:rFonts w:hint="eastAsia"/>
                <w:vertAlign w:val="baseline"/>
                <w:lang w:val="en-US" w:eastAsia="zh-CN"/>
              </w:rPr>
              <w:t>推理的</w:t>
            </w:r>
            <w:r>
              <w:rPr>
                <w:rFonts w:hint="eastAsia"/>
                <w:vertAlign w:val="baseline"/>
              </w:rPr>
              <w:t>基本问题是人</w:t>
            </w:r>
            <w:r>
              <w:rPr>
                <w:rFonts w:hint="eastAsia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vertAlign w:val="baseline"/>
              </w:rPr>
              <w:t>世界的关系问题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反思自我认识及对他人、社会对推理结论的影响。</w:t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3、</w:t>
            </w:r>
            <w:r>
              <w:rPr>
                <w:rFonts w:hint="eastAsia"/>
                <w:vertAlign w:val="baseline"/>
                <w:lang w:val="en-US" w:eastAsia="zh-CN"/>
              </w:rPr>
              <w:t>评价文学作品</w:t>
            </w:r>
            <w:r>
              <w:rPr>
                <w:rFonts w:hint="eastAsia"/>
                <w:vertAlign w:val="baseline"/>
              </w:rPr>
              <w:t>基本</w:t>
            </w:r>
            <w:r>
              <w:rPr>
                <w:rFonts w:hint="eastAsia"/>
                <w:vertAlign w:val="baseline"/>
                <w:lang w:val="en-US" w:eastAsia="zh-CN"/>
              </w:rPr>
              <w:t>推理</w:t>
            </w:r>
            <w:r>
              <w:rPr>
                <w:rFonts w:hint="eastAsia"/>
                <w:vertAlign w:val="baseline"/>
              </w:rPr>
              <w:t>问题四个方面的内容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1.能阐释小说中推理的基本问题，辨别推理基本问题和其他社会问题的区别。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B05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B050"/>
                <w:kern w:val="0"/>
                <w:sz w:val="18"/>
                <w:szCs w:val="18"/>
              </w:rPr>
              <w:t>有质疑精神，</w:t>
            </w:r>
            <w:r>
              <w:rPr>
                <w:rFonts w:hint="eastAsia" w:asciiTheme="minorEastAsia" w:hAnsiTheme="minorEastAsia" w:eastAsiaTheme="minorEastAsia" w:cstheme="minorEastAsia"/>
                <w:color w:val="00B050"/>
                <w:kern w:val="0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color w:val="00B050"/>
                <w:kern w:val="0"/>
                <w:sz w:val="18"/>
                <w:szCs w:val="18"/>
              </w:rPr>
              <w:t>逻辑分析</w:t>
            </w:r>
            <w:r>
              <w:rPr>
                <w:rFonts w:hint="eastAsia" w:asciiTheme="minorEastAsia" w:hAnsiTheme="minorEastAsia" w:eastAsiaTheme="minorEastAsia" w:cstheme="minorEastAsia"/>
                <w:color w:val="00B050"/>
                <w:kern w:val="0"/>
                <w:sz w:val="18"/>
                <w:szCs w:val="18"/>
                <w:lang w:val="en-US" w:eastAsia="zh-CN"/>
              </w:rPr>
              <w:t>法为作品预设的合理性作出解析、辩护或质疑。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1.对文学作品中推理要点的正确评价。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5.生活中错误的推理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1.分析生活中会发生错误推理的十个例子。（人  人生态度）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2.综合评价生活中的十种错判断其错误的内在根据是什么？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4.综合分析，更理性的语言理性的推理判断何以获得。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能对照自己的生活与其他同学讨论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错误推理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2.能通过</w:t>
            </w:r>
            <w:r>
              <w:rPr>
                <w:rFonts w:hint="eastAsia"/>
                <w:color w:val="000000"/>
                <w:szCs w:val="21"/>
              </w:rPr>
              <w:t>分析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向他人</w:t>
            </w:r>
            <w:r>
              <w:rPr>
                <w:rFonts w:hint="eastAsia"/>
                <w:color w:val="000000"/>
                <w:szCs w:val="21"/>
              </w:rPr>
              <w:t>阐释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什么是错误推理的</w:t>
            </w:r>
            <w:r>
              <w:rPr>
                <w:rFonts w:hint="eastAsia"/>
                <w:color w:val="000000"/>
                <w:szCs w:val="21"/>
              </w:rPr>
              <w:t>理由和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避免推理错误判断失误的</w:t>
            </w:r>
            <w:r>
              <w:rPr>
                <w:rFonts w:hint="eastAsia"/>
                <w:color w:val="000000"/>
                <w:szCs w:val="21"/>
              </w:rPr>
              <w:t>一般方法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。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难点：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对课程讨论问题的参与积极积极性的提高。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288" w:lineRule="auto"/>
        <w:ind w:left="0" w:leftChars="0" w:firstLine="0" w:firstLineChars="0"/>
        <w:rPr>
          <w:rFonts w:hint="eastAsia" w:ascii="宋体" w:hAnsi="宋体" w:eastAsia="宋体"/>
          <w:sz w:val="20"/>
          <w:szCs w:val="20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sz w:val="24"/>
          <w:szCs w:val="24"/>
        </w:rPr>
        <w:t>、评价方式与成绩</w:t>
      </w:r>
    </w:p>
    <w:tbl>
      <w:tblPr>
        <w:tblStyle w:val="8"/>
        <w:tblpPr w:leftFromText="180" w:rightFromText="180" w:vertAnchor="text" w:horzAnchor="page" w:tblpX="1537" w:tblpY="12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ind w:left="400" w:leftChars="200" w:firstLine="0" w:firstLineChars="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ind w:firstLine="40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作业1（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电影中的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归纳推理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分析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）</w:t>
            </w:r>
          </w:p>
        </w:tc>
        <w:tc>
          <w:tcPr>
            <w:tcW w:w="184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ind w:firstLine="40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作业2 （推理综合选择）</w:t>
            </w:r>
          </w:p>
        </w:tc>
        <w:tc>
          <w:tcPr>
            <w:tcW w:w="184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ind w:firstLine="40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期末论文或推理小说（原创）</w:t>
            </w:r>
          </w:p>
        </w:tc>
        <w:tc>
          <w:tcPr>
            <w:tcW w:w="184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  <w:bookmarkEnd w:id="0"/>
          </w:p>
        </w:tc>
      </w:tr>
    </w:tbl>
    <w:p/>
    <w:p>
      <w:r>
        <w:rPr>
          <w:rFonts w:hint="eastAsia"/>
        </w:rPr>
        <w:t>“</w:t>
      </w:r>
      <w:r>
        <w:t>1</w:t>
      </w:r>
      <w:r>
        <w:rPr>
          <w:rFonts w:hint="eastAsia"/>
        </w:rPr>
        <w:t>”一般为总结性评价, “</w:t>
      </w:r>
      <w:r>
        <w:t>X</w:t>
      </w:r>
      <w:r>
        <w:rPr>
          <w:rFonts w:hint="eastAsia"/>
        </w:rPr>
        <w:t>”为过程性评价，“</w:t>
      </w:r>
      <w:r>
        <w:t>X</w:t>
      </w:r>
      <w:r>
        <w:rPr>
          <w:rFonts w:hint="eastAsia"/>
        </w:rPr>
        <w:t>”的次数一般不少于3次，无论是“</w:t>
      </w:r>
      <w:r>
        <w:t>1</w:t>
      </w:r>
      <w:r>
        <w:rPr>
          <w:rFonts w:hint="eastAsia"/>
        </w:rPr>
        <w:t>”、还是“</w:t>
      </w:r>
      <w:r>
        <w:t>X</w:t>
      </w:r>
      <w:r>
        <w:rPr>
          <w:rFonts w:hint="eastAsia"/>
        </w:rPr>
        <w:t>”，都可以是纸笔测试，也可以是表现性评价。与能力本位相适应的课程评价方式，较少采用纸笔测试，较多采用表现性评价。</w:t>
      </w:r>
    </w:p>
    <w:p>
      <w:r>
        <w:rPr>
          <w:rFonts w:hint="eastAsia"/>
        </w:rPr>
        <w:t>常用</w:t>
      </w:r>
      <w:r>
        <w:t>的</w:t>
      </w:r>
      <w:r>
        <w:rPr>
          <w:rFonts w:hint="eastAsia"/>
        </w:rPr>
        <w:t>评价</w:t>
      </w:r>
      <w:r>
        <w:t>方式</w:t>
      </w:r>
      <w:r>
        <w:rPr>
          <w:rFonts w:hint="eastAsia"/>
        </w:rPr>
        <w:t>有</w:t>
      </w:r>
      <w:r>
        <w:t>：</w:t>
      </w:r>
      <w:r>
        <w:rPr>
          <w:rFonts w:hint="eastAsia"/>
        </w:rPr>
        <w:t>课堂展示、口头</w:t>
      </w:r>
      <w:r>
        <w:t>报告、</w:t>
      </w:r>
      <w:r>
        <w:rPr>
          <w:rFonts w:hint="eastAsia"/>
        </w:rPr>
        <w:t>论文、日志、反思</w:t>
      </w:r>
      <w:r>
        <w:t>、</w:t>
      </w:r>
      <w:r>
        <w:rPr>
          <w:rFonts w:hint="eastAsia"/>
        </w:rPr>
        <w:t>调查报告、个人项目报告、小组</w:t>
      </w:r>
      <w:r>
        <w:t>项目报告、</w:t>
      </w:r>
      <w:r>
        <w:rPr>
          <w:rFonts w:hint="eastAsia"/>
        </w:rPr>
        <w:t>实验报告、读书报告、作品（选集</w:t>
      </w:r>
      <w:r>
        <w:t>）</w:t>
      </w:r>
      <w:r>
        <w:rPr>
          <w:rFonts w:hint="eastAsia"/>
        </w:rPr>
        <w:t>、口试、课堂小测验、</w:t>
      </w:r>
      <w:r>
        <w:t>期终闭卷考、期终开卷考、</w:t>
      </w:r>
      <w:r>
        <w:rPr>
          <w:rFonts w:hint="eastAsia"/>
        </w:rPr>
        <w:t>工作</w:t>
      </w:r>
      <w:r>
        <w:t>现场评估、</w:t>
      </w:r>
      <w:r>
        <w:rPr>
          <w:rFonts w:hint="eastAsia"/>
        </w:rPr>
        <w:t>自我</w:t>
      </w:r>
      <w:r>
        <w:t>评估、</w:t>
      </w:r>
      <w:r>
        <w:rPr>
          <w:rFonts w:hint="eastAsia"/>
        </w:rPr>
        <w:t>同辈</w:t>
      </w:r>
      <w:r>
        <w:t>评估</w:t>
      </w:r>
      <w:r>
        <w:rPr>
          <w:rFonts w:hint="eastAsia"/>
        </w:rPr>
        <w:t>等等</w:t>
      </w:r>
      <w:r>
        <w:t>。</w:t>
      </w:r>
    </w:p>
    <w:p>
      <w:r>
        <w:rPr>
          <w:rFonts w:hint="eastAsia"/>
        </w:rPr>
        <w:t>本大纲只对“1”的考核方式以及比例进行规定，对“X”不予规定，由任课教师自行决定X的内容、次数及比例，同一门课程由多个教师共同授课的、由课程组共同讨论决定X的内容、次数及比例。</w:t>
      </w:r>
    </w:p>
    <w:p/>
    <w:p/>
    <w:p>
      <w:pPr>
        <w:rPr>
          <w:lang w:val="en-US"/>
        </w:rPr>
      </w:pPr>
      <w:r>
        <w:rPr>
          <w:rFonts w:hint="eastAsia"/>
        </w:rPr>
        <w:t xml:space="preserve">撰写：   潘冬平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828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361" w:bottom="1191" w:left="147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r>
      <w:rPr>
        <w:rFonts w:hint="eastAsia"/>
      </w:rPr>
      <w:t>注：教学大纲电子版公布在本学院课程网站上，并发送到教务处存档。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jc w:val="both"/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  <w:lang w:val="en-US" w:eastAsia="zh-CN"/>
      </w:rPr>
      <w:t>26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F794"/>
    <w:multiLevelType w:val="singleLevel"/>
    <w:tmpl w:val="5AA1F79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EF5"/>
    <w:rsid w:val="0000262E"/>
    <w:rsid w:val="00020106"/>
    <w:rsid w:val="00026460"/>
    <w:rsid w:val="00055EBA"/>
    <w:rsid w:val="000673CF"/>
    <w:rsid w:val="00090FAE"/>
    <w:rsid w:val="00125C1E"/>
    <w:rsid w:val="001307A8"/>
    <w:rsid w:val="00134662"/>
    <w:rsid w:val="00141020"/>
    <w:rsid w:val="00151E3A"/>
    <w:rsid w:val="001776B9"/>
    <w:rsid w:val="001A4F83"/>
    <w:rsid w:val="001A5427"/>
    <w:rsid w:val="001C54E4"/>
    <w:rsid w:val="001E1C7F"/>
    <w:rsid w:val="00202979"/>
    <w:rsid w:val="00202F4A"/>
    <w:rsid w:val="00205691"/>
    <w:rsid w:val="00256EDB"/>
    <w:rsid w:val="002634A1"/>
    <w:rsid w:val="0026543E"/>
    <w:rsid w:val="002C436C"/>
    <w:rsid w:val="00300E03"/>
    <w:rsid w:val="0031179D"/>
    <w:rsid w:val="00315E89"/>
    <w:rsid w:val="00330401"/>
    <w:rsid w:val="00330419"/>
    <w:rsid w:val="003355D1"/>
    <w:rsid w:val="00346C56"/>
    <w:rsid w:val="00365541"/>
    <w:rsid w:val="00372463"/>
    <w:rsid w:val="00387183"/>
    <w:rsid w:val="003B3D68"/>
    <w:rsid w:val="003D779A"/>
    <w:rsid w:val="003F1CC6"/>
    <w:rsid w:val="004257C5"/>
    <w:rsid w:val="004402B5"/>
    <w:rsid w:val="0044644B"/>
    <w:rsid w:val="00450AD1"/>
    <w:rsid w:val="00471FC4"/>
    <w:rsid w:val="0047424F"/>
    <w:rsid w:val="004949DC"/>
    <w:rsid w:val="00495DEF"/>
    <w:rsid w:val="004D27F9"/>
    <w:rsid w:val="0051211E"/>
    <w:rsid w:val="00520C65"/>
    <w:rsid w:val="0054413F"/>
    <w:rsid w:val="00544DCA"/>
    <w:rsid w:val="00585959"/>
    <w:rsid w:val="005C375A"/>
    <w:rsid w:val="005D539E"/>
    <w:rsid w:val="005D7251"/>
    <w:rsid w:val="00607749"/>
    <w:rsid w:val="00616A2F"/>
    <w:rsid w:val="0063700B"/>
    <w:rsid w:val="0063732C"/>
    <w:rsid w:val="00655EE7"/>
    <w:rsid w:val="006617D8"/>
    <w:rsid w:val="0067063F"/>
    <w:rsid w:val="00683AD6"/>
    <w:rsid w:val="006A1A83"/>
    <w:rsid w:val="006B02B5"/>
    <w:rsid w:val="006C2E7E"/>
    <w:rsid w:val="006E5CAD"/>
    <w:rsid w:val="006F1EF5"/>
    <w:rsid w:val="006F4DF7"/>
    <w:rsid w:val="00707550"/>
    <w:rsid w:val="00721CBA"/>
    <w:rsid w:val="00724190"/>
    <w:rsid w:val="00741D4A"/>
    <w:rsid w:val="00744C4E"/>
    <w:rsid w:val="007A33B9"/>
    <w:rsid w:val="007C48AE"/>
    <w:rsid w:val="007D5726"/>
    <w:rsid w:val="007D600D"/>
    <w:rsid w:val="007F16D0"/>
    <w:rsid w:val="0083755D"/>
    <w:rsid w:val="008C1FDB"/>
    <w:rsid w:val="00907FDB"/>
    <w:rsid w:val="00933102"/>
    <w:rsid w:val="00943DEF"/>
    <w:rsid w:val="00950881"/>
    <w:rsid w:val="00963D30"/>
    <w:rsid w:val="00975AFA"/>
    <w:rsid w:val="00987C5B"/>
    <w:rsid w:val="009A59CF"/>
    <w:rsid w:val="009C7503"/>
    <w:rsid w:val="009D37A1"/>
    <w:rsid w:val="00A22483"/>
    <w:rsid w:val="00A312A5"/>
    <w:rsid w:val="00A40438"/>
    <w:rsid w:val="00A40665"/>
    <w:rsid w:val="00A45B5F"/>
    <w:rsid w:val="00A90778"/>
    <w:rsid w:val="00A91997"/>
    <w:rsid w:val="00AB47DF"/>
    <w:rsid w:val="00AC52B5"/>
    <w:rsid w:val="00AE5FC8"/>
    <w:rsid w:val="00AF20EC"/>
    <w:rsid w:val="00B3314E"/>
    <w:rsid w:val="00B400BA"/>
    <w:rsid w:val="00B64DC8"/>
    <w:rsid w:val="00B75830"/>
    <w:rsid w:val="00B770C0"/>
    <w:rsid w:val="00B9301A"/>
    <w:rsid w:val="00B962AE"/>
    <w:rsid w:val="00BB7C3C"/>
    <w:rsid w:val="00BD38DB"/>
    <w:rsid w:val="00BD45B6"/>
    <w:rsid w:val="00BF12AB"/>
    <w:rsid w:val="00C016A0"/>
    <w:rsid w:val="00C11CF6"/>
    <w:rsid w:val="00C44D17"/>
    <w:rsid w:val="00C76312"/>
    <w:rsid w:val="00C847B5"/>
    <w:rsid w:val="00CC0883"/>
    <w:rsid w:val="00CC16DA"/>
    <w:rsid w:val="00CD0D92"/>
    <w:rsid w:val="00CD356D"/>
    <w:rsid w:val="00CE78C5"/>
    <w:rsid w:val="00D10E34"/>
    <w:rsid w:val="00D13FE5"/>
    <w:rsid w:val="00D4117C"/>
    <w:rsid w:val="00D4471C"/>
    <w:rsid w:val="00D5188B"/>
    <w:rsid w:val="00D60930"/>
    <w:rsid w:val="00D658EC"/>
    <w:rsid w:val="00D80AF5"/>
    <w:rsid w:val="00D942DA"/>
    <w:rsid w:val="00DA67DD"/>
    <w:rsid w:val="00DB206F"/>
    <w:rsid w:val="00DC2BDB"/>
    <w:rsid w:val="00E02ECD"/>
    <w:rsid w:val="00E32596"/>
    <w:rsid w:val="00E4185F"/>
    <w:rsid w:val="00E46E66"/>
    <w:rsid w:val="00E665A1"/>
    <w:rsid w:val="00E72799"/>
    <w:rsid w:val="00EA323E"/>
    <w:rsid w:val="00EA3F38"/>
    <w:rsid w:val="00EA562B"/>
    <w:rsid w:val="00F00598"/>
    <w:rsid w:val="00F00C83"/>
    <w:rsid w:val="00F314E7"/>
    <w:rsid w:val="00F528D0"/>
    <w:rsid w:val="00F70CA1"/>
    <w:rsid w:val="00F72CBD"/>
    <w:rsid w:val="00F86B28"/>
    <w:rsid w:val="00FD3D8C"/>
    <w:rsid w:val="02502346"/>
    <w:rsid w:val="04C01587"/>
    <w:rsid w:val="081D2ED0"/>
    <w:rsid w:val="09287B02"/>
    <w:rsid w:val="0E3C686C"/>
    <w:rsid w:val="0F2273BA"/>
    <w:rsid w:val="14E43091"/>
    <w:rsid w:val="15AF0F18"/>
    <w:rsid w:val="16521D29"/>
    <w:rsid w:val="1A096775"/>
    <w:rsid w:val="204C741A"/>
    <w:rsid w:val="220423B7"/>
    <w:rsid w:val="262A3CA5"/>
    <w:rsid w:val="276D5112"/>
    <w:rsid w:val="279A5CC3"/>
    <w:rsid w:val="2A8D09BB"/>
    <w:rsid w:val="2AD20352"/>
    <w:rsid w:val="2FA24770"/>
    <w:rsid w:val="32FE2331"/>
    <w:rsid w:val="3FC60044"/>
    <w:rsid w:val="4349424C"/>
    <w:rsid w:val="490D4C95"/>
    <w:rsid w:val="4BF26EE3"/>
    <w:rsid w:val="55EE35D3"/>
    <w:rsid w:val="578018D5"/>
    <w:rsid w:val="59240A82"/>
    <w:rsid w:val="5BF230AF"/>
    <w:rsid w:val="5E3036ED"/>
    <w:rsid w:val="60E9228D"/>
    <w:rsid w:val="642E4B96"/>
    <w:rsid w:val="64A358AC"/>
    <w:rsid w:val="64A853AC"/>
    <w:rsid w:val="652E6C01"/>
    <w:rsid w:val="652F4E53"/>
    <w:rsid w:val="6E63728C"/>
    <w:rsid w:val="70AB305F"/>
    <w:rsid w:val="776E3A21"/>
    <w:rsid w:val="7B4D0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288" w:lineRule="auto"/>
      <w:ind w:firstLine="400" w:firstLineChars="200"/>
      <w:jc w:val="both"/>
    </w:pPr>
    <w:rPr>
      <w:rFonts w:ascii="Times New Roman" w:hAnsi="Times New Roman" w:eastAsia="宋体" w:cs="Times New Roman"/>
      <w:color w:val="000000"/>
      <w:kern w:val="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short_text"/>
    <w:basedOn w:val="6"/>
    <w:qFormat/>
    <w:uiPriority w:val="0"/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thtfpc</Company>
  <Pages>10</Pages>
  <Words>1683</Words>
  <Characters>9594</Characters>
  <Lines>79</Lines>
  <Paragraphs>22</Paragraphs>
  <TotalTime>2</TotalTime>
  <ScaleCrop>false</ScaleCrop>
  <LinksUpToDate>false</LinksUpToDate>
  <CharactersWithSpaces>11255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2017-03-02T11:45:00Z</dcterms:created>
  <dc:creator>thtfpc user</dc:creator>
  <cp:lastModifiedBy>111111</cp:lastModifiedBy>
  <cp:lastPrinted>2015-03-18T05:19:00Z</cp:lastPrinted>
  <dcterms:modified xsi:type="dcterms:W3CDTF">2018-10-10T03:32:20Z</dcterms:modified>
  <dc:title>上海建桥学院本科课程教学大纲模板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