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34463373"/>
      <w:r>
        <w:rPr>
          <w:rFonts w:hint="eastAsia"/>
        </w:rP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ge">
                  <wp:posOffset>320040</wp:posOffset>
                </wp:positionV>
                <wp:extent cx="2635250" cy="280670"/>
                <wp:effectExtent l="0" t="0" r="0" b="5080"/>
                <wp:wrapThrough wrapText="bothSides">
                  <wp:wrapPolygon>
                    <wp:start x="0" y="0"/>
                    <wp:lineTo x="0" y="20525"/>
                    <wp:lineTo x="21392" y="20525"/>
                    <wp:lineTo x="21392" y="0"/>
                    <wp:lineTo x="0" y="0"/>
                  </wp:wrapPolygon>
                </wp:wrapThrough>
                <wp:docPr id="11" name="文本框 1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25.2pt;height:22.1pt;width:207.5pt;mso-position-horizontal-relative:page;mso-position-vertical-relative:page;mso-wrap-distance-left:9pt;mso-wrap-distance-right:9pt;z-index:251659264;mso-width-relative:page;mso-height-relative:page;" fillcolor="#FFFFFF" filled="t" stroked="f" coordsize="21600,21600" wrapcoords="0 0 0 20525 21392 20525 21392 0 0 0" o:gfxdata="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CIiNNQAAAAIAQAADwAAAAAAAAABACAAAAAiAAAAZHJzL2Rvd25y&#10;ZXYueG1sUEsBAhQAFAAAAAgAh07iQD4VEVA7AgAAUQQAAA4AAAAAAAAAAQAgAAAAIwEAAGRycy9l&#10;Mm9Eb2MueG1sUEsFBgAAAAAGAAYAWQEAANAFA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w10:wrap type="through"/>
              </v:shape>
            </w:pict>
          </mc:Fallback>
        </mc:AlternateContent>
      </w:r>
      <w:r>
        <w:rPr>
          <w:rFonts w:hint="eastAsia"/>
        </w:rPr>
        <w:t>【新媒体技术与应用】</w:t>
      </w:r>
      <w:bookmarkEnd w:id="0"/>
    </w:p>
    <w:p>
      <w:pPr>
        <w:widowControl/>
        <w:shd w:val="clear" w:color="auto" w:fill="F5F5F5"/>
        <w:spacing w:before="100" w:beforeAutospacing="1" w:after="100" w:afterAutospacing="1" w:line="360" w:lineRule="atLeast"/>
        <w:jc w:val="center"/>
        <w:textAlignment w:val="top"/>
        <w:rPr>
          <w:rFonts w:ascii="宋体" w:hAnsi="宋体" w:cs="宋体"/>
          <w:color w:val="4A4A4A"/>
          <w:kern w:val="0"/>
          <w:sz w:val="24"/>
        </w:rPr>
      </w:pPr>
      <w:r>
        <w:rPr>
          <w:rFonts w:hint="eastAsia" w:cs="宋体"/>
          <w:b/>
          <w:color w:val="4A4A4A"/>
          <w:kern w:val="0"/>
          <w:sz w:val="28"/>
          <w:szCs w:val="30"/>
        </w:rPr>
        <w:t>【</w:t>
      </w:r>
      <w:r>
        <w:rPr>
          <w:rFonts w:hint="eastAsia"/>
        </w:rPr>
        <w:t>Technology and application of new media</w:t>
      </w:r>
      <w:r>
        <w:rPr>
          <w:rFonts w:hint="eastAsia" w:cs="宋体"/>
          <w:b/>
          <w:color w:val="4A4A4A"/>
          <w:kern w:val="0"/>
          <w:sz w:val="28"/>
          <w:szCs w:val="30"/>
        </w:rPr>
        <w:t>】</w:t>
      </w:r>
    </w:p>
    <w:p>
      <w:pPr>
        <w:pStyle w:val="3"/>
        <w:rPr>
          <w:color w:val="008080"/>
          <w:sz w:val="30"/>
          <w:szCs w:val="30"/>
        </w:rPr>
      </w:pPr>
      <w:r>
        <w:t>一</w:t>
      </w:r>
      <w:r>
        <w:rPr>
          <w:rFonts w:hint="eastAsia"/>
        </w:rPr>
        <w:t>、</w:t>
      </w:r>
      <w:r>
        <w:t>基本信息</w:t>
      </w:r>
    </w:p>
    <w:p>
      <w:r>
        <w:rPr>
          <w:b/>
          <w:bCs/>
        </w:rPr>
        <w:t>课程代码：</w:t>
      </w:r>
      <w:r>
        <w:t>【</w:t>
      </w:r>
      <w:r>
        <w:rPr>
          <w:rFonts w:hint="eastAsia"/>
        </w:rPr>
        <w:t>2030265</w:t>
      </w:r>
      <w:r>
        <w:t>】</w:t>
      </w:r>
    </w:p>
    <w:p>
      <w:pPr>
        <w:rPr>
          <w:szCs w:val="21"/>
        </w:rPr>
      </w:pPr>
      <w:r>
        <w:rPr>
          <w:b/>
          <w:bCs/>
        </w:rPr>
        <w:t>课程学分：</w:t>
      </w:r>
      <w:r>
        <w:t>【</w:t>
      </w:r>
      <w:r>
        <w:rPr>
          <w:rFonts w:hint="eastAsia"/>
        </w:rPr>
        <w:t>4</w:t>
      </w:r>
      <w:r>
        <w:t>】</w:t>
      </w:r>
    </w:p>
    <w:p>
      <w:pPr>
        <w:rPr>
          <w:szCs w:val="21"/>
        </w:rPr>
      </w:pPr>
      <w:r>
        <w:rPr>
          <w:b/>
          <w:bCs/>
        </w:rPr>
        <w:t>面向专业：</w:t>
      </w:r>
      <w:r>
        <w:t>【</w:t>
      </w:r>
      <w:r>
        <w:rPr>
          <w:rFonts w:hint="eastAsia"/>
        </w:rPr>
        <w:t>广告学</w:t>
      </w:r>
      <w:r>
        <w:t>】</w:t>
      </w:r>
    </w:p>
    <w:p>
      <w:pPr>
        <w:rPr>
          <w:color w:val="000000"/>
        </w:rPr>
      </w:pPr>
      <w:r>
        <w:rPr>
          <w:b/>
          <w:bCs/>
          <w:color w:val="000000"/>
        </w:rPr>
        <w:t>课程性质：</w:t>
      </w:r>
      <w:r>
        <w:rPr>
          <w:color w:val="000000"/>
        </w:rPr>
        <w:t>【</w:t>
      </w:r>
      <w:r>
        <w:rPr>
          <w:rFonts w:hint="eastAsia"/>
          <w:color w:val="000000"/>
        </w:rPr>
        <w:t>专业必修课】</w:t>
      </w:r>
    </w:p>
    <w:p>
      <w:pPr>
        <w:rPr>
          <w:color w:val="000000"/>
        </w:rPr>
      </w:pPr>
      <w:r>
        <w:rPr>
          <w:rFonts w:hint="eastAsia"/>
          <w:b/>
          <w:color w:val="000000"/>
        </w:rPr>
        <w:t>开课院系：</w:t>
      </w:r>
      <w:r>
        <w:rPr>
          <w:rFonts w:hint="eastAsia"/>
          <w:color w:val="000000"/>
        </w:rPr>
        <w:t>新闻传播学院广告学系</w:t>
      </w:r>
    </w:p>
    <w:p>
      <w:pPr>
        <w:rPr>
          <w:color w:val="000000"/>
        </w:rPr>
      </w:pPr>
      <w:r>
        <w:rPr>
          <w:rFonts w:hint="eastAsia"/>
          <w:b/>
          <w:color w:val="000000"/>
        </w:rPr>
        <w:t>使用教材：</w:t>
      </w:r>
      <w:r>
        <w:rPr>
          <w:color w:val="000000"/>
        </w:rPr>
        <w:t>《</w:t>
      </w:r>
      <w:r>
        <w:rPr>
          <w:rFonts w:hint="eastAsia"/>
          <w:color w:val="000000"/>
        </w:rPr>
        <w:t>广告设计与新媒体艺术设计</w:t>
      </w:r>
      <w:r>
        <w:rPr>
          <w:color w:val="000000"/>
        </w:rPr>
        <w:t>》，作者：</w:t>
      </w:r>
      <w:r>
        <w:rPr>
          <w:rFonts w:hint="eastAsia"/>
          <w:color w:val="000000"/>
        </w:rPr>
        <w:t>张文</w:t>
      </w:r>
      <w:r>
        <w:rPr>
          <w:color w:val="000000"/>
        </w:rPr>
        <w:t>，出版社:</w:t>
      </w:r>
      <w:r>
        <w:rPr>
          <w:rFonts w:hint="eastAsia"/>
          <w:color w:val="000000"/>
        </w:rPr>
        <w:t xml:space="preserve">江西美术出版社 </w:t>
      </w:r>
      <w:r>
        <w:rPr>
          <w:color w:val="000000"/>
        </w:rPr>
        <w:t>2019</w:t>
      </w:r>
      <w:r>
        <w:rPr>
          <w:rFonts w:hint="eastAsia"/>
          <w:color w:val="000000"/>
        </w:rPr>
        <w:t>年</w:t>
      </w:r>
      <w:r>
        <w:rPr>
          <w:color w:val="000000"/>
        </w:rPr>
        <w:t>。</w:t>
      </w:r>
    </w:p>
    <w:p>
      <w:pPr>
        <w:rPr>
          <w:color w:val="000000"/>
        </w:rPr>
      </w:pPr>
      <w:r>
        <w:rPr>
          <w:b/>
          <w:color w:val="000000"/>
        </w:rPr>
        <w:t>参考书目</w:t>
      </w:r>
      <w:r>
        <w:rPr>
          <w:rFonts w:hint="eastAsia"/>
          <w:b/>
          <w:color w:val="000000"/>
        </w:rPr>
        <w:t>：</w:t>
      </w:r>
      <w:r>
        <w:rPr>
          <w:color w:val="000000"/>
        </w:rPr>
        <w:t>【</w:t>
      </w:r>
      <w:r>
        <w:rPr>
          <w:rFonts w:hint="eastAsia"/>
          <w:color w:val="000000"/>
        </w:rPr>
        <w:t>《Adobe Animate CC 动画制作案例教程》 王威 著  电子工业出版社 2019年</w:t>
      </w:r>
    </w:p>
    <w:p>
      <w:pPr>
        <w:rPr>
          <w:color w:val="000000"/>
        </w:rPr>
      </w:pPr>
      <w:r>
        <w:rPr>
          <w:rFonts w:hint="eastAsia"/>
          <w:color w:val="000000"/>
        </w:rPr>
        <w:t xml:space="preserve">《中文版Premiere Pro CC影视制作从入门到精通》  </w:t>
      </w:r>
      <w:r>
        <w:fldChar w:fldCharType="begin"/>
      </w:r>
      <w:r>
        <w:instrText xml:space="preserve"> HYPERLINK "https://book.jd.com/writer/九州书源_1.html" \t "https://item.jd.com/_blank" </w:instrText>
      </w:r>
      <w:r>
        <w:fldChar w:fldCharType="separate"/>
      </w:r>
      <w:r>
        <w:rPr>
          <w:rFonts w:hint="eastAsia"/>
          <w:color w:val="000000"/>
        </w:rPr>
        <w:t>九州书源</w:t>
      </w:r>
      <w:r>
        <w:rPr>
          <w:rFonts w:hint="eastAsia"/>
          <w:color w:val="000000"/>
        </w:rPr>
        <w:fldChar w:fldCharType="end"/>
      </w:r>
      <w:r>
        <w:rPr>
          <w:rFonts w:hint="eastAsia"/>
          <w:color w:val="000000"/>
        </w:rPr>
        <w:t xml:space="preserve"> 著 </w:t>
      </w:r>
      <w:r>
        <w:fldChar w:fldCharType="begin"/>
      </w:r>
      <w:r>
        <w:instrText xml:space="preserve"> HYPERLINK "https://book.jd.com/publish/清华大学出版社_1.html" \t "https://item.jd.com/_blank" \o "清华大学出版社" </w:instrText>
      </w:r>
      <w:r>
        <w:fldChar w:fldCharType="separate"/>
      </w:r>
      <w:r>
        <w:rPr>
          <w:rFonts w:hint="eastAsia"/>
          <w:color w:val="000000"/>
        </w:rPr>
        <w:t>清华大学出版社</w:t>
      </w:r>
      <w:r>
        <w:rPr>
          <w:rFonts w:hint="eastAsia"/>
          <w:color w:val="000000"/>
        </w:rPr>
        <w:fldChar w:fldCharType="end"/>
      </w:r>
      <w:r>
        <w:rPr>
          <w:rFonts w:hint="eastAsia"/>
          <w:color w:val="000000"/>
        </w:rPr>
        <w:t xml:space="preserve"> 2016年 《</w:t>
      </w:r>
      <w:r>
        <w:rPr>
          <w:rFonts w:ascii="宋体" w:hAnsi="宋体" w:cs="宋体"/>
          <w:sz w:val="24"/>
        </w:rPr>
        <w:t>Premiere Pro CC从入门到精通PR教程</w:t>
      </w:r>
      <w:r>
        <w:rPr>
          <w:rFonts w:hint="eastAsia"/>
          <w:color w:val="000000"/>
        </w:rPr>
        <w:t xml:space="preserve">》 唯美世界 著  </w:t>
      </w:r>
      <w:r>
        <w:fldChar w:fldCharType="begin"/>
      </w:r>
      <w:r>
        <w:instrText xml:space="preserve"> HYPERLINK "https://book.jd.com/publish/中国水利水电出版社_1.html" \t "https://item.jd.com/_blank" \o "中国水利水电出版社" </w:instrText>
      </w:r>
      <w:r>
        <w:fldChar w:fldCharType="separate"/>
      </w:r>
      <w:r>
        <w:rPr>
          <w:rFonts w:hint="eastAsia"/>
          <w:color w:val="000000"/>
        </w:rPr>
        <w:t>中国水利水电出版社</w:t>
      </w:r>
      <w:r>
        <w:rPr>
          <w:rFonts w:hint="eastAsia"/>
          <w:color w:val="000000"/>
        </w:rPr>
        <w:fldChar w:fldCharType="end"/>
      </w:r>
      <w:r>
        <w:rPr>
          <w:rFonts w:hint="eastAsia"/>
          <w:color w:val="000000"/>
        </w:rPr>
        <w:t xml:space="preserve"> 2019年】</w:t>
      </w:r>
    </w:p>
    <w:p>
      <w:pPr>
        <w:rPr>
          <w:b/>
          <w:color w:val="000000"/>
        </w:rPr>
      </w:pPr>
      <w:r>
        <w:rPr>
          <w:rFonts w:hint="eastAsia"/>
          <w:b/>
          <w:color w:val="000000"/>
        </w:rPr>
        <w:t>课程网站网址：</w:t>
      </w:r>
    </w:p>
    <w:p>
      <w:pPr>
        <w:rPr>
          <w:rFonts w:ascii="宋体" w:hAnsi="宋体" w:cs="宋体"/>
          <w:b/>
          <w:bCs/>
          <w:color w:val="000000"/>
          <w:highlight w:val="yellow"/>
        </w:rPr>
      </w:pPr>
      <w:r>
        <w:rPr>
          <w:rFonts w:hint="eastAsia" w:ascii="宋体" w:hAnsi="宋体" w:cs="宋体"/>
          <w:color w:val="000000"/>
        </w:rPr>
        <w:t>https://elearning.gench.edu.cn:8443/webapps/blackboard/content/listContentEditable.jsp?content_id=_12200_1&amp;course_id=_5580_1&amp;mode=reset</w:t>
      </w:r>
    </w:p>
    <w:p>
      <w:pPr>
        <w:rPr>
          <w:color w:val="000000"/>
        </w:rPr>
      </w:pPr>
      <w:r>
        <w:rPr>
          <w:b/>
          <w:bCs/>
          <w:color w:val="000000"/>
        </w:rPr>
        <w:t>先修课程：</w:t>
      </w:r>
      <w:r>
        <w:rPr>
          <w:color w:val="000000"/>
        </w:rPr>
        <w:t>【</w:t>
      </w:r>
      <w:r>
        <w:rPr>
          <w:rFonts w:hint="eastAsia"/>
          <w:color w:val="000000"/>
        </w:rPr>
        <w:t>平面设计软件基础2030117学分4，优秀广告评析2030141学分2</w:t>
      </w:r>
      <w:r>
        <w:rPr>
          <w:color w:val="000000"/>
        </w:rPr>
        <w:t>】</w:t>
      </w:r>
    </w:p>
    <w:p>
      <w:pPr>
        <w:pStyle w:val="3"/>
        <w:rPr>
          <w:color w:val="000000"/>
          <w:szCs w:val="20"/>
        </w:rPr>
      </w:pPr>
      <w:r>
        <w:t>二</w:t>
      </w:r>
      <w:r>
        <w:rPr>
          <w:rFonts w:hint="eastAsia"/>
        </w:rPr>
        <w:t>、</w:t>
      </w:r>
      <w:r>
        <w:t>课程简介</w:t>
      </w:r>
    </w:p>
    <w:p>
      <w:pPr>
        <w:ind w:firstLine="420" w:firstLineChars="200"/>
        <w:rPr>
          <w:color w:val="000000"/>
        </w:rPr>
      </w:pPr>
      <w:r>
        <w:rPr>
          <w:rFonts w:ascii="宋体" w:hAnsi="宋体"/>
          <w:szCs w:val="21"/>
        </w:rPr>
        <w:t>本课程是培养学生创意思维能力和设计表现能力的重要课程，在整个教学体系中具有重要的作用</w:t>
      </w:r>
      <w:r>
        <w:rPr>
          <w:color w:val="000000"/>
        </w:rPr>
        <w:t>。通过课程教学与实践，使学生熟悉</w:t>
      </w:r>
      <w:r>
        <w:rPr>
          <w:rFonts w:hint="eastAsia"/>
          <w:color w:val="000000"/>
        </w:rPr>
        <w:t>新媒体广告</w:t>
      </w:r>
      <w:r>
        <w:rPr>
          <w:color w:val="000000"/>
        </w:rPr>
        <w:t>设计的基本理论及方法，掌握</w:t>
      </w:r>
      <w:r>
        <w:rPr>
          <w:rFonts w:hint="eastAsia"/>
          <w:color w:val="000000"/>
        </w:rPr>
        <w:t>各新媒体广告</w:t>
      </w:r>
      <w:r>
        <w:rPr>
          <w:color w:val="000000"/>
        </w:rPr>
        <w:t>的</w:t>
      </w:r>
      <w:r>
        <w:rPr>
          <w:rFonts w:hint="eastAsia"/>
          <w:color w:val="000000"/>
        </w:rPr>
        <w:t>设计制作技术以及</w:t>
      </w:r>
      <w:r>
        <w:rPr>
          <w:color w:val="000000"/>
        </w:rPr>
        <w:t>创意表现技巧，培养学生的设计思维能力和实践能力。</w:t>
      </w:r>
      <w:r>
        <w:rPr>
          <w:rFonts w:hint="eastAsia"/>
          <w:color w:val="000000"/>
        </w:rPr>
        <w:t>课程以动画技术、音频技术、视频特效技术、小程序技术等结合，通过课程的学习与实践，结合真实品牌的案例，通过调研、分析、策划、创意、设计以及制作，运用新媒体技术进行企业（项目）品牌（产品）动画的设计制作、音频的设计制作、视频特效（抖音、小视频等）的设计制作、小程序的设计制作。</w:t>
      </w:r>
    </w:p>
    <w:p>
      <w:pPr>
        <w:ind w:firstLine="525" w:firstLineChars="250"/>
        <w:rPr>
          <w:color w:val="000000"/>
        </w:rPr>
      </w:pPr>
      <w:r>
        <w:rPr>
          <w:rFonts w:hint="eastAsia"/>
          <w:color w:val="000000"/>
        </w:rPr>
        <w:t>本课程的目的是培养能按照现代广告策划创意传播理念，规范、准确、熟练地完成新媒体软件的制作、各新媒体的内容整合以及平台的发布和传播。使学生能依靠团队在共同分析实体项目内涵的基础上，编制创意内容文本，并学习各新媒体软件，通过新媒体软件的融合进行传播，最终能评估传播效果。能通过本课程将广告上游的调研、分析策划、创意以及下游的传播效果评估进行整合。同时，打造新媒体技术制作的各项专业任务的人才。立足这一目的，本课程结合本科生的学习能力水平与新媒体技术与应用的课程目标，依据课程的主要子项目内容共制定了四方面，9个能力要求。这三方面目标分别涉及的是新媒体制作的前期调研和资料搜集与分析，创意设计以及制作三个方面。</w:t>
      </w:r>
    </w:p>
    <w:p>
      <w:pPr>
        <w:ind w:firstLine="525" w:firstLineChars="250"/>
        <w:rPr>
          <w:color w:val="000000"/>
        </w:rPr>
      </w:pPr>
      <w:r>
        <w:rPr>
          <w:rFonts w:hint="eastAsia"/>
          <w:color w:val="000000"/>
        </w:rPr>
        <w:t>本课程建议课时数64，其中实践课时数32，共计4学分。</w:t>
      </w:r>
    </w:p>
    <w:p>
      <w:pPr>
        <w:pStyle w:val="3"/>
      </w:pPr>
      <w:r>
        <w:t>三</w:t>
      </w:r>
      <w:r>
        <w:rPr>
          <w:rFonts w:hint="eastAsia"/>
        </w:rPr>
        <w:t>、</w:t>
      </w:r>
      <w:r>
        <w:t>选课建议</w:t>
      </w:r>
    </w:p>
    <w:p>
      <w:pPr>
        <w:ind w:firstLine="420" w:firstLineChars="200"/>
      </w:pPr>
      <w:r>
        <w:rPr>
          <w:rFonts w:hint="eastAsia"/>
        </w:rPr>
        <w:t>本课程前应开设《平面设计软件基础》、《优秀广告评析》课程，以使学生有相应的作品鉴赏以及解决基本平面图像的处理问题。课程结束后可与高年级的实训实习结合，在实习实训中检验学到的知识与能力。</w:t>
      </w:r>
    </w:p>
    <w:p>
      <w:pPr>
        <w:pStyle w:val="3"/>
      </w:pPr>
      <w:r>
        <w:rPr>
          <w:rFonts w:hint="eastAsia"/>
        </w:rPr>
        <w:t>四、</w:t>
      </w:r>
      <w:r>
        <w:t>课程与</w:t>
      </w:r>
      <w:r>
        <w:rPr>
          <w:rFonts w:hint="eastAsia"/>
        </w:rPr>
        <w:t>专业毕业要求</w:t>
      </w:r>
      <w:r>
        <w:t>的关联性</w:t>
      </w:r>
    </w:p>
    <w:tbl>
      <w:tblPr>
        <w:tblStyle w:val="6"/>
        <w:tblW w:w="7239" w:type="dxa"/>
        <w:tblInd w:w="0" w:type="dxa"/>
        <w:tblLayout w:type="fixed"/>
        <w:tblCellMar>
          <w:top w:w="0" w:type="dxa"/>
          <w:left w:w="108" w:type="dxa"/>
          <w:bottom w:w="0" w:type="dxa"/>
          <w:right w:w="108" w:type="dxa"/>
        </w:tblCellMar>
      </w:tblPr>
      <w:tblGrid>
        <w:gridCol w:w="476"/>
        <w:gridCol w:w="541"/>
        <w:gridCol w:w="5806"/>
        <w:gridCol w:w="416"/>
      </w:tblGrid>
      <w:tr>
        <w:tblPrEx>
          <w:tblCellMar>
            <w:top w:w="0" w:type="dxa"/>
            <w:left w:w="108" w:type="dxa"/>
            <w:bottom w:w="0" w:type="dxa"/>
            <w:right w:w="108" w:type="dxa"/>
          </w:tblCellMar>
        </w:tblPrEx>
        <w:trPr>
          <w:trHeight w:val="317" w:hRule="atLeast"/>
        </w:trPr>
        <w:tc>
          <w:tcPr>
            <w:tcW w:w="4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L011</w:t>
            </w:r>
          </w:p>
        </w:tc>
        <w:tc>
          <w:tcPr>
            <w:tcW w:w="5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LO111</w:t>
            </w:r>
          </w:p>
        </w:tc>
        <w:tc>
          <w:tcPr>
            <w:tcW w:w="580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倾听广告客户的需求和诉求点。</w:t>
            </w:r>
          </w:p>
        </w:tc>
        <w:tc>
          <w:tcPr>
            <w:tcW w:w="41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66" w:hRule="atLeast"/>
        </w:trPr>
        <w:tc>
          <w:tcPr>
            <w:tcW w:w="4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nil"/>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LO112</w:t>
            </w:r>
          </w:p>
        </w:tc>
        <w:tc>
          <w:tcPr>
            <w:tcW w:w="5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能够熟练的阐述广告方案的意图，亮点,及时调整方案的陈述。</w:t>
            </w:r>
          </w:p>
        </w:tc>
        <w:tc>
          <w:tcPr>
            <w:tcW w:w="416" w:type="dxa"/>
            <w:tcBorders>
              <w:top w:val="nil"/>
              <w:left w:val="single" w:color="auto" w:sz="4" w:space="0"/>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383" w:hRule="atLeast"/>
        </w:trPr>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L021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LO211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学习和借鉴广告大师和成功案例为创意策划提供素材。</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60" w:hRule="atLeast"/>
        </w:trPr>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LO212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对新型广告创作应用技术进行延展学习和应用。</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23" w:hRule="atLeast"/>
        </w:trPr>
        <w:tc>
          <w:tcPr>
            <w:tcW w:w="476" w:type="dxa"/>
            <w:vMerge w:val="restart"/>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能够进行广告创意联想。</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185" w:hRule="atLeast"/>
        </w:trPr>
        <w:tc>
          <w:tcPr>
            <w:tcW w:w="476"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具备广告文案创意、口号创意和图形创意的能力。</w:t>
            </w:r>
          </w:p>
        </w:tc>
        <w:tc>
          <w:tcPr>
            <w:tcW w:w="416" w:type="dxa"/>
            <w:tcBorders>
              <w:top w:val="nil"/>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w:t>
            </w:r>
          </w:p>
        </w:tc>
      </w:tr>
      <w:tr>
        <w:tblPrEx>
          <w:tblCellMar>
            <w:top w:w="0" w:type="dxa"/>
            <w:left w:w="108" w:type="dxa"/>
            <w:bottom w:w="0" w:type="dxa"/>
            <w:right w:w="108" w:type="dxa"/>
          </w:tblCellMar>
        </w:tblPrEx>
        <w:trPr>
          <w:trHeight w:val="161" w:hRule="atLeast"/>
        </w:trPr>
        <w:tc>
          <w:tcPr>
            <w:tcW w:w="476"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L032</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L0321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具有进行广告发布、推广活动策划能力。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51" w:hRule="atLeast"/>
        </w:trPr>
        <w:tc>
          <w:tcPr>
            <w:tcW w:w="476"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L0322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熟悉活动的组织流程，具有活动的相关执行技术和能力。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13" w:hRule="atLeast"/>
        </w:trPr>
        <w:tc>
          <w:tcPr>
            <w:tcW w:w="476"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L033</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LO331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能进行广告文案、口号的写作。</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175"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LO332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能进行各类维度的广告作品设计。</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w:t>
            </w:r>
          </w:p>
        </w:tc>
      </w:tr>
      <w:tr>
        <w:tblPrEx>
          <w:tblCellMar>
            <w:top w:w="0" w:type="dxa"/>
            <w:left w:w="108" w:type="dxa"/>
            <w:bottom w:w="0" w:type="dxa"/>
            <w:right w:w="108" w:type="dxa"/>
          </w:tblCellMar>
        </w:tblPrEx>
        <w:trPr>
          <w:trHeight w:val="279" w:hRule="atLeast"/>
        </w:trPr>
        <w:tc>
          <w:tcPr>
            <w:tcW w:w="4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LO333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能根据客户的反馈对广告文案和设计作品进行有效的修改。</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9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L034</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LO341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能够将广告设计方案转化为广告执行方案</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w:t>
            </w:r>
          </w:p>
        </w:tc>
      </w:tr>
      <w:tr>
        <w:tblPrEx>
          <w:tblCellMar>
            <w:top w:w="0" w:type="dxa"/>
            <w:left w:w="108" w:type="dxa"/>
            <w:bottom w:w="0" w:type="dxa"/>
            <w:right w:w="108" w:type="dxa"/>
          </w:tblCellMar>
        </w:tblPrEx>
        <w:trPr>
          <w:trHeight w:val="20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LO342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熟悉各类广告制作工艺和材料。</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307"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LO342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具备广告现场执行的监理能力，沟通能力，协调能力。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6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具备广告客户、业务开发和维护能力。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3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具有广告消费行为、营销、广告客户心理等方面的基础知识。</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19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L0353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具备良好的品牌开发、传播的能力。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97"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L041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遵纪守法：遵守校纪校规，具备法律意识。</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CellMar>
            <w:top w:w="0" w:type="dxa"/>
            <w:left w:w="108" w:type="dxa"/>
            <w:bottom w:w="0" w:type="dxa"/>
            <w:right w:w="108" w:type="dxa"/>
          </w:tblCellMar>
        </w:tblPrEx>
        <w:trPr>
          <w:trHeight w:val="259"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诚实守信：为人诚实，信守承诺，尽职尽责。</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CellMar>
            <w:top w:w="0" w:type="dxa"/>
            <w:left w:w="108" w:type="dxa"/>
            <w:bottom w:w="0" w:type="dxa"/>
            <w:right w:w="108" w:type="dxa"/>
          </w:tblCellMar>
        </w:tblPrEx>
        <w:trPr>
          <w:trHeight w:val="3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爱岗敬业：了解与专业相关的法律法规，在学习和社会实践中遵守职业规范，具备职业道德操守。</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CellMar>
            <w:top w:w="0" w:type="dxa"/>
            <w:left w:w="108" w:type="dxa"/>
            <w:bottom w:w="0" w:type="dxa"/>
            <w:right w:w="108" w:type="dxa"/>
          </w:tblCellMar>
        </w:tblPrEx>
        <w:trPr>
          <w:trHeight w:val="14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LO414</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心理健康，能承受学习和生活中的压力。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24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L051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在集体活动中能主动担任自己的角色，与其他成员密切合作，共同完成任务。</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27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13"/>
                <w:szCs w:val="13"/>
              </w:rPr>
            </w:pPr>
            <w:r>
              <w:rPr>
                <w:rFonts w:hint="eastAsia" w:ascii="宋体" w:hAnsi="宋体" w:cs="宋体"/>
                <w:color w:val="00B050"/>
                <w:kern w:val="0"/>
                <w:sz w:val="13"/>
                <w:szCs w:val="13"/>
              </w:rPr>
              <w:t>有质疑精神，能有逻辑的分析与批判。</w:t>
            </w:r>
          </w:p>
        </w:tc>
        <w:tc>
          <w:tcPr>
            <w:tcW w:w="416" w:type="dxa"/>
            <w:tcBorders>
              <w:top w:val="nil"/>
              <w:left w:val="nil"/>
              <w:bottom w:val="single" w:color="auto" w:sz="4" w:space="0"/>
              <w:right w:val="single" w:color="auto" w:sz="4" w:space="0"/>
            </w:tcBorders>
            <w:vAlign w:val="center"/>
          </w:tcPr>
          <w:p>
            <w:pPr>
              <w:rPr>
                <w:rFonts w:ascii="宋体" w:hAnsi="宋体" w:cs="宋体"/>
                <w:color w:val="00B050"/>
                <w:sz w:val="20"/>
                <w:szCs w:val="20"/>
              </w:rPr>
            </w:pPr>
            <w:r>
              <w:rPr>
                <w:rFonts w:hint="eastAsia"/>
                <w:color w:val="00B050"/>
                <w:sz w:val="20"/>
                <w:szCs w:val="20"/>
              </w:rPr>
              <w:t>　</w:t>
            </w:r>
          </w:p>
        </w:tc>
      </w:tr>
      <w:tr>
        <w:tblPrEx>
          <w:tblCellMar>
            <w:top w:w="0" w:type="dxa"/>
            <w:left w:w="108" w:type="dxa"/>
            <w:bottom w:w="0" w:type="dxa"/>
            <w:right w:w="108" w:type="dxa"/>
          </w:tblCellMar>
        </w:tblPrEx>
        <w:trPr>
          <w:trHeight w:val="25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13"/>
                <w:szCs w:val="13"/>
              </w:rPr>
            </w:pPr>
            <w:r>
              <w:rPr>
                <w:rFonts w:hint="eastAsia" w:ascii="宋体" w:hAnsi="宋体" w:cs="宋体"/>
                <w:color w:val="00B050"/>
                <w:kern w:val="0"/>
                <w:sz w:val="13"/>
                <w:szCs w:val="13"/>
              </w:rPr>
              <w:t>能用创新的方法或者多种方法解决复杂问题或真实问题。</w:t>
            </w:r>
          </w:p>
        </w:tc>
        <w:tc>
          <w:tcPr>
            <w:tcW w:w="416" w:type="dxa"/>
            <w:tcBorders>
              <w:top w:val="nil"/>
              <w:left w:val="nil"/>
              <w:bottom w:val="single" w:color="auto" w:sz="4" w:space="0"/>
              <w:right w:val="single" w:color="auto" w:sz="4" w:space="0"/>
            </w:tcBorders>
            <w:vAlign w:val="center"/>
          </w:tcPr>
          <w:p>
            <w:pPr>
              <w:jc w:val="center"/>
              <w:rPr>
                <w:rFonts w:ascii="宋体" w:hAnsi="宋体" w:cs="宋体"/>
                <w:color w:val="00B050"/>
                <w:sz w:val="20"/>
                <w:szCs w:val="20"/>
              </w:rPr>
            </w:pPr>
          </w:p>
        </w:tc>
      </w:tr>
      <w:tr>
        <w:tblPrEx>
          <w:tblCellMar>
            <w:top w:w="0" w:type="dxa"/>
            <w:left w:w="108" w:type="dxa"/>
            <w:bottom w:w="0" w:type="dxa"/>
            <w:right w:w="108" w:type="dxa"/>
          </w:tblCellMar>
        </w:tblPrEx>
        <w:trPr>
          <w:trHeight w:val="212"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LO514</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50"/>
                <w:kern w:val="0"/>
                <w:sz w:val="13"/>
                <w:szCs w:val="13"/>
              </w:rPr>
            </w:pPr>
            <w:r>
              <w:rPr>
                <w:rFonts w:hint="eastAsia" w:ascii="宋体" w:hAnsi="宋体" w:cs="宋体"/>
                <w:color w:val="00B050"/>
                <w:kern w:val="0"/>
                <w:sz w:val="13"/>
                <w:szCs w:val="13"/>
              </w:rPr>
              <w:t>了解行业前沿知识技术。</w:t>
            </w:r>
          </w:p>
        </w:tc>
        <w:tc>
          <w:tcPr>
            <w:tcW w:w="416" w:type="dxa"/>
            <w:tcBorders>
              <w:top w:val="nil"/>
              <w:left w:val="nil"/>
              <w:bottom w:val="single" w:color="auto" w:sz="4" w:space="0"/>
              <w:right w:val="single" w:color="auto" w:sz="4" w:space="0"/>
            </w:tcBorders>
            <w:vAlign w:val="center"/>
          </w:tcPr>
          <w:p>
            <w:pPr>
              <w:rPr>
                <w:rFonts w:ascii="宋体" w:hAnsi="宋体" w:cs="宋体"/>
                <w:color w:val="00B050"/>
                <w:sz w:val="20"/>
                <w:szCs w:val="20"/>
              </w:rPr>
            </w:pPr>
            <w:r>
              <w:rPr>
                <w:rFonts w:hint="eastAsia"/>
                <w:color w:val="00B050"/>
                <w:sz w:val="20"/>
                <w:szCs w:val="20"/>
              </w:rPr>
              <w:t>　</w:t>
            </w:r>
          </w:p>
        </w:tc>
      </w:tr>
      <w:tr>
        <w:tblPrEx>
          <w:tblCellMar>
            <w:top w:w="0" w:type="dxa"/>
            <w:left w:w="108" w:type="dxa"/>
            <w:bottom w:w="0" w:type="dxa"/>
            <w:right w:w="108" w:type="dxa"/>
          </w:tblCellMar>
        </w:tblPrEx>
        <w:trPr>
          <w:trHeight w:val="302"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L061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LO611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熟练运用各类信息搜索软件和检索工具进行广告客户背景资料搜集</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381"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LO612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熟练运用数据分析软件进行广告客户需求分析。</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86"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LO613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B0F0"/>
                <w:kern w:val="0"/>
                <w:sz w:val="13"/>
                <w:szCs w:val="13"/>
              </w:rPr>
            </w:pPr>
            <w:r>
              <w:rPr>
                <w:rFonts w:hint="eastAsia" w:ascii="宋体" w:hAnsi="宋体" w:cs="宋体"/>
                <w:color w:val="000000"/>
                <w:kern w:val="0"/>
                <w:sz w:val="13"/>
                <w:szCs w:val="13"/>
              </w:rPr>
              <w:t>熟练使用计算机，掌握常用办公软件。</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519"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L071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爱党爱国：了解祖国的优秀传统文化和革命历史，构建爱党爱国的理想信念。</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CellMar>
            <w:top w:w="0" w:type="dxa"/>
            <w:left w:w="108" w:type="dxa"/>
            <w:bottom w:w="0" w:type="dxa"/>
            <w:right w:w="108" w:type="dxa"/>
          </w:tblCellMar>
        </w:tblPrEx>
        <w:trPr>
          <w:trHeight w:val="31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助人为乐：富于爱心，懂得感恩，具备助人为乐的品质。</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r>
              <w:rPr>
                <w:rFonts w:hint="eastAsia"/>
                <w:color w:val="000000"/>
                <w:sz w:val="20"/>
                <w:szCs w:val="20"/>
              </w:rPr>
              <w:t>●</w:t>
            </w:r>
          </w:p>
        </w:tc>
      </w:tr>
      <w:tr>
        <w:tblPrEx>
          <w:tblCellMar>
            <w:top w:w="0" w:type="dxa"/>
            <w:left w:w="108" w:type="dxa"/>
            <w:bottom w:w="0" w:type="dxa"/>
            <w:right w:w="108" w:type="dxa"/>
          </w:tblCellMar>
        </w:tblPrEx>
        <w:trPr>
          <w:trHeight w:val="263"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奉献社会：具有服务企业、服务社会的意愿和行为能力。</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p>
        </w:tc>
      </w:tr>
      <w:tr>
        <w:tblPrEx>
          <w:tblCellMar>
            <w:top w:w="0" w:type="dxa"/>
            <w:left w:w="108" w:type="dxa"/>
            <w:bottom w:w="0" w:type="dxa"/>
            <w:right w:w="108" w:type="dxa"/>
          </w:tblCellMar>
        </w:tblPrEx>
        <w:trPr>
          <w:trHeight w:val="225"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LO714</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FF0000"/>
                <w:kern w:val="0"/>
                <w:sz w:val="13"/>
                <w:szCs w:val="13"/>
              </w:rPr>
            </w:pPr>
            <w:r>
              <w:rPr>
                <w:rFonts w:hint="eastAsia" w:ascii="宋体" w:hAnsi="宋体" w:cs="宋体"/>
                <w:color w:val="FF0000"/>
                <w:kern w:val="0"/>
                <w:sz w:val="13"/>
                <w:szCs w:val="13"/>
              </w:rPr>
              <w:t>爱护环境：具有爱护环境的意识和与自然和谐相处的环保理念。</w:t>
            </w:r>
          </w:p>
        </w:tc>
        <w:tc>
          <w:tcPr>
            <w:tcW w:w="416" w:type="dxa"/>
            <w:tcBorders>
              <w:top w:val="nil"/>
              <w:left w:val="nil"/>
              <w:bottom w:val="single" w:color="auto" w:sz="4" w:space="0"/>
              <w:right w:val="single" w:color="auto" w:sz="4" w:space="0"/>
            </w:tcBorders>
            <w:vAlign w:val="center"/>
          </w:tcPr>
          <w:p>
            <w:pPr>
              <w:rPr>
                <w:rFonts w:ascii="宋体" w:hAnsi="宋体" w:cs="宋体"/>
                <w:color w:val="FF0000"/>
                <w:sz w:val="20"/>
                <w:szCs w:val="20"/>
              </w:rPr>
            </w:pPr>
            <w:r>
              <w:rPr>
                <w:rFonts w:hint="eastAsia"/>
                <w:color w:val="FF0000"/>
                <w:sz w:val="20"/>
                <w:szCs w:val="20"/>
              </w:rPr>
              <w:t>　</w:t>
            </w:r>
          </w:p>
        </w:tc>
      </w:tr>
      <w:tr>
        <w:tblPrEx>
          <w:tblCellMar>
            <w:top w:w="0" w:type="dxa"/>
            <w:left w:w="108" w:type="dxa"/>
            <w:bottom w:w="0" w:type="dxa"/>
            <w:right w:w="108" w:type="dxa"/>
          </w:tblCellMar>
        </w:tblPrEx>
        <w:trPr>
          <w:trHeight w:val="201" w:hRule="atLeast"/>
        </w:trPr>
        <w:tc>
          <w:tcPr>
            <w:tcW w:w="4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w:t>
            </w: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L0811</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具有良好的广告专业英语听说读写能力。</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304"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L0812</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能从4A公司和国外广告公司的案例中汲取经验。</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267" w:hRule="atLeast"/>
        </w:trPr>
        <w:tc>
          <w:tcPr>
            <w:tcW w:w="4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3"/>
                <w:szCs w:val="13"/>
              </w:rPr>
            </w:pPr>
          </w:p>
        </w:tc>
        <w:tc>
          <w:tcPr>
            <w:tcW w:w="54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3"/>
                <w:szCs w:val="13"/>
              </w:rPr>
            </w:pPr>
            <w:r>
              <w:rPr>
                <w:rFonts w:hint="eastAsia" w:ascii="宋体" w:hAnsi="宋体" w:cs="宋体"/>
                <w:color w:val="000000"/>
                <w:kern w:val="0"/>
                <w:sz w:val="13"/>
                <w:szCs w:val="13"/>
              </w:rPr>
              <w:t>L0813</w:t>
            </w:r>
          </w:p>
        </w:tc>
        <w:tc>
          <w:tcPr>
            <w:tcW w:w="580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3"/>
                <w:szCs w:val="13"/>
              </w:rPr>
            </w:pPr>
            <w:r>
              <w:rPr>
                <w:rFonts w:hint="eastAsia" w:ascii="宋体" w:hAnsi="宋体" w:cs="宋体"/>
                <w:color w:val="000000"/>
                <w:kern w:val="0"/>
                <w:sz w:val="13"/>
                <w:szCs w:val="13"/>
              </w:rPr>
              <w:t>能引进世界先进水平的广告创意、执行和表现手段。</w:t>
            </w:r>
          </w:p>
        </w:tc>
        <w:tc>
          <w:tcPr>
            <w:tcW w:w="416" w:type="dxa"/>
            <w:tcBorders>
              <w:top w:val="nil"/>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　</w:t>
            </w:r>
          </w:p>
        </w:tc>
      </w:tr>
    </w:tbl>
    <w:p>
      <w:pPr>
        <w:pStyle w:val="3"/>
      </w:pPr>
      <w:r>
        <w:rPr>
          <w:rFonts w:hint="eastAsia"/>
        </w:rPr>
        <w:t>五、</w:t>
      </w:r>
      <w:r>
        <w:t>课程</w:t>
      </w:r>
      <w:r>
        <w:rPr>
          <w:rFonts w:hint="eastAsia"/>
        </w:rPr>
        <w:t>目标/课程预期学习成果</w:t>
      </w:r>
    </w:p>
    <w:tbl>
      <w:tblPr>
        <w:tblStyle w:val="6"/>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82"/>
        <w:gridCol w:w="2526"/>
        <w:gridCol w:w="187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snapToGrid w:val="0"/>
              <w:jc w:val="center"/>
              <w:rPr>
                <w:rFonts w:ascii="宋体" w:hAnsi="宋体"/>
                <w:b/>
                <w:bCs/>
                <w:color w:val="000000"/>
                <w:sz w:val="20"/>
                <w:szCs w:val="20"/>
              </w:rPr>
            </w:pPr>
            <w:r>
              <w:rPr>
                <w:rFonts w:hint="eastAsia" w:ascii="宋体" w:hAnsi="宋体"/>
                <w:b/>
                <w:bCs/>
                <w:color w:val="000000"/>
                <w:sz w:val="20"/>
                <w:szCs w:val="20"/>
              </w:rPr>
              <w:t>序号</w:t>
            </w:r>
          </w:p>
        </w:tc>
        <w:tc>
          <w:tcPr>
            <w:tcW w:w="1282" w:type="dxa"/>
          </w:tcPr>
          <w:p>
            <w:pPr>
              <w:snapToGrid w:val="0"/>
              <w:jc w:val="center"/>
              <w:rPr>
                <w:rFonts w:ascii="宋体" w:hAnsi="宋体"/>
                <w:b/>
                <w:bCs/>
                <w:color w:val="000000"/>
                <w:sz w:val="20"/>
                <w:szCs w:val="20"/>
              </w:rPr>
            </w:pPr>
            <w:r>
              <w:rPr>
                <w:rFonts w:hint="eastAsia" w:ascii="宋体" w:hAnsi="宋体"/>
                <w:b/>
                <w:bCs/>
                <w:color w:val="000000"/>
                <w:sz w:val="20"/>
                <w:szCs w:val="20"/>
              </w:rPr>
              <w:t>课程预期</w:t>
            </w:r>
          </w:p>
          <w:p>
            <w:pPr>
              <w:snapToGrid w:val="0"/>
              <w:jc w:val="center"/>
              <w:rPr>
                <w:rFonts w:ascii="宋体" w:hAnsi="宋体"/>
                <w:b/>
                <w:bCs/>
                <w:color w:val="000000"/>
                <w:sz w:val="20"/>
                <w:szCs w:val="20"/>
              </w:rPr>
            </w:pPr>
            <w:r>
              <w:rPr>
                <w:rFonts w:hint="eastAsia" w:ascii="宋体" w:hAnsi="宋体"/>
                <w:b/>
                <w:bCs/>
                <w:color w:val="000000"/>
                <w:sz w:val="20"/>
                <w:szCs w:val="20"/>
              </w:rPr>
              <w:t>学习成果</w:t>
            </w:r>
          </w:p>
        </w:tc>
        <w:tc>
          <w:tcPr>
            <w:tcW w:w="2526" w:type="dxa"/>
            <w:vAlign w:val="center"/>
          </w:tcPr>
          <w:p>
            <w:pPr>
              <w:snapToGrid w:val="0"/>
              <w:jc w:val="center"/>
              <w:rPr>
                <w:rFonts w:ascii="宋体" w:hAnsi="宋体"/>
                <w:b/>
                <w:bCs/>
                <w:color w:val="000000"/>
                <w:sz w:val="20"/>
                <w:szCs w:val="20"/>
              </w:rPr>
            </w:pPr>
            <w:r>
              <w:rPr>
                <w:rFonts w:hint="eastAsia" w:ascii="宋体" w:hAnsi="宋体"/>
                <w:b/>
                <w:bCs/>
                <w:color w:val="000000"/>
                <w:sz w:val="20"/>
                <w:szCs w:val="20"/>
              </w:rPr>
              <w:t>课程目标</w:t>
            </w:r>
          </w:p>
          <w:p>
            <w:pPr>
              <w:snapToGrid w:val="0"/>
              <w:jc w:val="center"/>
              <w:rPr>
                <w:rFonts w:ascii="宋体" w:hAnsi="宋体"/>
                <w:b/>
                <w:bCs/>
                <w:color w:val="FF0000"/>
                <w:sz w:val="20"/>
                <w:szCs w:val="20"/>
              </w:rPr>
            </w:pPr>
            <w:r>
              <w:rPr>
                <w:rFonts w:hint="eastAsia" w:ascii="宋体" w:hAnsi="宋体"/>
                <w:b/>
                <w:bCs/>
                <w:color w:val="000000"/>
                <w:sz w:val="20"/>
                <w:szCs w:val="20"/>
              </w:rPr>
              <w:t>（细化的预期学习成果）</w:t>
            </w:r>
          </w:p>
        </w:tc>
        <w:tc>
          <w:tcPr>
            <w:tcW w:w="1876" w:type="dxa"/>
            <w:vAlign w:val="center"/>
          </w:tcPr>
          <w:p>
            <w:pPr>
              <w:snapToGrid w:val="0"/>
              <w:jc w:val="center"/>
              <w:rPr>
                <w:rFonts w:ascii="宋体" w:hAnsi="宋体"/>
                <w:b/>
                <w:bCs/>
                <w:color w:val="000000"/>
                <w:sz w:val="20"/>
                <w:szCs w:val="20"/>
              </w:rPr>
            </w:pPr>
            <w:r>
              <w:rPr>
                <w:rFonts w:hint="eastAsia" w:ascii="宋体" w:hAnsi="宋体"/>
                <w:b/>
                <w:bCs/>
                <w:color w:val="000000"/>
                <w:sz w:val="20"/>
                <w:szCs w:val="20"/>
              </w:rPr>
              <w:t>教与学方式</w:t>
            </w:r>
          </w:p>
        </w:tc>
        <w:tc>
          <w:tcPr>
            <w:tcW w:w="1876" w:type="dxa"/>
            <w:vAlign w:val="center"/>
          </w:tcPr>
          <w:p>
            <w:pPr>
              <w:snapToGrid w:val="0"/>
              <w:jc w:val="center"/>
              <w:rPr>
                <w:rFonts w:ascii="宋体" w:hAnsi="宋体"/>
                <w:b/>
                <w:bCs/>
                <w:color w:val="000000"/>
                <w:sz w:val="20"/>
                <w:szCs w:val="20"/>
              </w:rPr>
            </w:pPr>
            <w:r>
              <w:rPr>
                <w:rFonts w:hint="eastAsia" w:ascii="宋体" w:hAnsi="宋体"/>
                <w:b/>
                <w:bCs/>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tcPr>
          <w:p>
            <w:pPr>
              <w:snapToGrid w:val="0"/>
              <w:jc w:val="center"/>
              <w:rPr>
                <w:rFonts w:ascii="宋体" w:hAnsi="宋体"/>
                <w:sz w:val="24"/>
              </w:rPr>
            </w:pPr>
            <w:r>
              <w:rPr>
                <w:rFonts w:hint="eastAsia" w:ascii="宋体" w:hAnsi="宋体"/>
                <w:sz w:val="24"/>
              </w:rPr>
              <w:t>1</w:t>
            </w:r>
          </w:p>
        </w:tc>
        <w:tc>
          <w:tcPr>
            <w:tcW w:w="1282" w:type="dxa"/>
            <w:vAlign w:val="center"/>
          </w:tcPr>
          <w:p>
            <w:pPr>
              <w:snapToGrid w:val="0"/>
              <w:jc w:val="center"/>
              <w:rPr>
                <w:rFonts w:ascii="宋体" w:hAnsi="宋体"/>
                <w:sz w:val="24"/>
              </w:rPr>
            </w:pPr>
            <w:r>
              <w:rPr>
                <w:rFonts w:hint="eastAsia" w:ascii="宋体" w:hAnsi="宋体"/>
                <w:color w:val="000000"/>
                <w:sz w:val="20"/>
                <w:szCs w:val="20"/>
              </w:rPr>
              <w:t>LO</w:t>
            </w:r>
            <w:r>
              <w:rPr>
                <w:rFonts w:ascii="宋体" w:hAnsi="宋体"/>
                <w:color w:val="000000"/>
                <w:sz w:val="20"/>
                <w:szCs w:val="20"/>
              </w:rPr>
              <w:t>312</w:t>
            </w:r>
          </w:p>
        </w:tc>
        <w:tc>
          <w:tcPr>
            <w:tcW w:w="2526" w:type="dxa"/>
            <w:vAlign w:val="center"/>
          </w:tcPr>
          <w:p>
            <w:pPr>
              <w:snapToGrid w:val="0"/>
              <w:rPr>
                <w:rFonts w:ascii="宋体" w:hAnsi="宋体"/>
                <w:color w:val="000000"/>
                <w:szCs w:val="21"/>
              </w:rPr>
            </w:pPr>
            <w:r>
              <w:rPr>
                <w:rFonts w:hint="eastAsia" w:ascii="宋体" w:hAnsi="宋体"/>
                <w:color w:val="000000"/>
                <w:szCs w:val="21"/>
              </w:rPr>
              <w:t>能根据调研、分析后的概念提炼进行新媒体广告的</w:t>
            </w:r>
            <w:r>
              <w:rPr>
                <w:rFonts w:hint="eastAsia" w:ascii="宋体" w:hAnsi="宋体"/>
                <w:b/>
                <w:bCs/>
                <w:color w:val="000000"/>
                <w:sz w:val="20"/>
                <w:szCs w:val="20"/>
              </w:rPr>
              <w:t>文本</w:t>
            </w:r>
            <w:r>
              <w:rPr>
                <w:rFonts w:hint="eastAsia" w:ascii="宋体" w:hAnsi="宋体"/>
                <w:color w:val="000000"/>
                <w:szCs w:val="21"/>
              </w:rPr>
              <w:t>创意（包括广告语、剧情、画面等的创意设计）</w:t>
            </w:r>
          </w:p>
        </w:tc>
        <w:tc>
          <w:tcPr>
            <w:tcW w:w="1876" w:type="dxa"/>
            <w:vAlign w:val="center"/>
          </w:tcPr>
          <w:p>
            <w:pPr>
              <w:snapToGrid w:val="0"/>
              <w:rPr>
                <w:rFonts w:ascii="宋体" w:hAnsi="宋体"/>
                <w:szCs w:val="21"/>
              </w:rPr>
            </w:pPr>
            <w:r>
              <w:rPr>
                <w:rFonts w:hint="eastAsia" w:ascii="宋体" w:hAnsi="宋体"/>
                <w:szCs w:val="21"/>
              </w:rPr>
              <w:t>课堂上小组讨论的形式以及创意设计文本的编制进行各新媒体广告的创意与设计</w:t>
            </w:r>
          </w:p>
        </w:tc>
        <w:tc>
          <w:tcPr>
            <w:tcW w:w="1876" w:type="dxa"/>
            <w:vAlign w:val="center"/>
          </w:tcPr>
          <w:p>
            <w:pPr>
              <w:snapToGrid w:val="0"/>
              <w:rPr>
                <w:rFonts w:ascii="宋体" w:hAnsi="宋体"/>
                <w:szCs w:val="21"/>
              </w:rPr>
            </w:pPr>
            <w:r>
              <w:rPr>
                <w:rFonts w:hint="eastAsia" w:ascii="宋体" w:hAnsi="宋体"/>
                <w:szCs w:val="21"/>
              </w:rPr>
              <w:t>各新媒体创意的文本、内容设计及融合的计划文本、传播后的效果评测文本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9" w:type="dxa"/>
          </w:tcPr>
          <w:p>
            <w:pPr>
              <w:snapToGrid w:val="0"/>
              <w:jc w:val="center"/>
              <w:rPr>
                <w:rFonts w:ascii="宋体" w:hAnsi="宋体"/>
                <w:sz w:val="24"/>
              </w:rPr>
            </w:pPr>
            <w:r>
              <w:rPr>
                <w:rFonts w:hint="eastAsia" w:ascii="宋体" w:hAnsi="宋体"/>
                <w:sz w:val="24"/>
              </w:rPr>
              <w:t>2</w:t>
            </w:r>
          </w:p>
        </w:tc>
        <w:tc>
          <w:tcPr>
            <w:tcW w:w="1282" w:type="dxa"/>
            <w:vAlign w:val="center"/>
          </w:tcPr>
          <w:p>
            <w:pPr>
              <w:snapToGrid w:val="0"/>
              <w:jc w:val="center"/>
              <w:rPr>
                <w:rFonts w:ascii="宋体" w:hAnsi="宋体"/>
                <w:color w:val="000000"/>
                <w:sz w:val="20"/>
                <w:szCs w:val="20"/>
              </w:rPr>
            </w:pPr>
            <w:r>
              <w:rPr>
                <w:rFonts w:hint="eastAsia" w:ascii="宋体" w:hAnsi="宋体"/>
                <w:color w:val="000000"/>
                <w:sz w:val="20"/>
                <w:szCs w:val="20"/>
              </w:rPr>
              <w:t>LO3</w:t>
            </w:r>
            <w:r>
              <w:rPr>
                <w:rFonts w:ascii="宋体" w:hAnsi="宋体"/>
                <w:color w:val="000000"/>
                <w:sz w:val="20"/>
                <w:szCs w:val="20"/>
              </w:rPr>
              <w:t>3</w:t>
            </w:r>
            <w:r>
              <w:rPr>
                <w:rFonts w:hint="eastAsia" w:ascii="宋体" w:hAnsi="宋体"/>
                <w:color w:val="000000"/>
                <w:sz w:val="20"/>
                <w:szCs w:val="20"/>
              </w:rPr>
              <w:t>2</w:t>
            </w:r>
          </w:p>
        </w:tc>
        <w:tc>
          <w:tcPr>
            <w:tcW w:w="2526" w:type="dxa"/>
            <w:vAlign w:val="center"/>
          </w:tcPr>
          <w:p>
            <w:pPr>
              <w:snapToGrid w:val="0"/>
              <w:rPr>
                <w:rFonts w:ascii="宋体" w:hAnsi="宋体"/>
                <w:color w:val="000000"/>
                <w:szCs w:val="21"/>
              </w:rPr>
            </w:pPr>
            <w:r>
              <w:rPr>
                <w:rFonts w:hint="eastAsia" w:ascii="宋体" w:hAnsi="宋体"/>
                <w:color w:val="000000"/>
                <w:szCs w:val="21"/>
              </w:rPr>
              <w:t>能通过所学习的各新媒体软件的技术进行动画设计、音频设计、小视频设计以及小程序设计</w:t>
            </w:r>
          </w:p>
        </w:tc>
        <w:tc>
          <w:tcPr>
            <w:tcW w:w="1876" w:type="dxa"/>
            <w:vAlign w:val="center"/>
          </w:tcPr>
          <w:p>
            <w:pPr>
              <w:snapToGrid w:val="0"/>
              <w:rPr>
                <w:rFonts w:ascii="宋体" w:hAnsi="宋体"/>
                <w:szCs w:val="21"/>
              </w:rPr>
            </w:pPr>
            <w:r>
              <w:rPr>
                <w:rFonts w:hint="eastAsia" w:ascii="宋体" w:hAnsi="宋体"/>
                <w:szCs w:val="21"/>
              </w:rPr>
              <w:t>课堂上讲授各新媒体的技术应用技巧；鉴赏优秀案例；临摹小案例；结合实体项目进行新媒体的创意设计</w:t>
            </w:r>
          </w:p>
        </w:tc>
        <w:tc>
          <w:tcPr>
            <w:tcW w:w="1876" w:type="dxa"/>
            <w:vAlign w:val="center"/>
          </w:tcPr>
          <w:p>
            <w:pPr>
              <w:snapToGrid w:val="0"/>
              <w:rPr>
                <w:rFonts w:ascii="宋体" w:hAnsi="宋体"/>
                <w:szCs w:val="21"/>
              </w:rPr>
            </w:pPr>
            <w:r>
              <w:rPr>
                <w:rFonts w:hint="eastAsia" w:ascii="宋体" w:hAnsi="宋体"/>
                <w:szCs w:val="21"/>
              </w:rPr>
              <w:t>企业新媒体案例实践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39" w:type="dxa"/>
          </w:tcPr>
          <w:p>
            <w:pPr>
              <w:snapToGrid w:val="0"/>
              <w:jc w:val="center"/>
              <w:rPr>
                <w:rFonts w:ascii="宋体" w:hAnsi="宋体"/>
                <w:sz w:val="24"/>
              </w:rPr>
            </w:pPr>
            <w:r>
              <w:rPr>
                <w:rFonts w:hint="eastAsia" w:ascii="宋体" w:hAnsi="宋体"/>
                <w:sz w:val="24"/>
              </w:rPr>
              <w:t>3</w:t>
            </w:r>
          </w:p>
        </w:tc>
        <w:tc>
          <w:tcPr>
            <w:tcW w:w="1282" w:type="dxa"/>
            <w:vAlign w:val="center"/>
          </w:tcPr>
          <w:p>
            <w:pPr>
              <w:snapToGrid w:val="0"/>
              <w:jc w:val="center"/>
              <w:rPr>
                <w:rFonts w:ascii="宋体" w:hAnsi="宋体"/>
                <w:color w:val="000000"/>
                <w:sz w:val="20"/>
                <w:szCs w:val="20"/>
              </w:rPr>
            </w:pPr>
            <w:r>
              <w:rPr>
                <w:rFonts w:hint="eastAsia" w:ascii="宋体" w:hAnsi="宋体"/>
                <w:color w:val="000000"/>
                <w:sz w:val="20"/>
                <w:szCs w:val="20"/>
              </w:rPr>
              <w:t>LO</w:t>
            </w:r>
            <w:r>
              <w:rPr>
                <w:rFonts w:ascii="宋体" w:hAnsi="宋体"/>
                <w:color w:val="000000"/>
                <w:sz w:val="20"/>
                <w:szCs w:val="20"/>
              </w:rPr>
              <w:t>341</w:t>
            </w:r>
          </w:p>
        </w:tc>
        <w:tc>
          <w:tcPr>
            <w:tcW w:w="2526" w:type="dxa"/>
            <w:vAlign w:val="center"/>
          </w:tcPr>
          <w:p>
            <w:pPr>
              <w:snapToGrid w:val="0"/>
              <w:rPr>
                <w:rFonts w:ascii="宋体" w:hAnsi="宋体"/>
                <w:color w:val="000000"/>
                <w:szCs w:val="21"/>
              </w:rPr>
            </w:pPr>
            <w:r>
              <w:rPr>
                <w:rFonts w:hint="eastAsia" w:ascii="宋体" w:hAnsi="宋体"/>
                <w:color w:val="000000"/>
                <w:szCs w:val="21"/>
              </w:rPr>
              <w:t>能根据各新媒体所创意设计的内容进行传播</w:t>
            </w:r>
          </w:p>
        </w:tc>
        <w:tc>
          <w:tcPr>
            <w:tcW w:w="1876" w:type="dxa"/>
            <w:vAlign w:val="center"/>
          </w:tcPr>
          <w:p>
            <w:pPr>
              <w:snapToGrid w:val="0"/>
              <w:rPr>
                <w:rFonts w:ascii="宋体" w:hAnsi="宋体"/>
                <w:szCs w:val="21"/>
              </w:rPr>
            </w:pPr>
            <w:r>
              <w:rPr>
                <w:rFonts w:hint="eastAsia" w:ascii="宋体" w:hAnsi="宋体"/>
                <w:szCs w:val="21"/>
              </w:rPr>
              <w:t>课堂上小组讨论及汇报各新媒体的创意内容及传播方式</w:t>
            </w:r>
          </w:p>
        </w:tc>
        <w:tc>
          <w:tcPr>
            <w:tcW w:w="1876" w:type="dxa"/>
            <w:vAlign w:val="center"/>
          </w:tcPr>
          <w:p>
            <w:pPr>
              <w:snapToGrid w:val="0"/>
              <w:rPr>
                <w:rFonts w:ascii="宋体" w:hAnsi="宋体"/>
                <w:szCs w:val="21"/>
              </w:rPr>
            </w:pPr>
            <w:r>
              <w:rPr>
                <w:rFonts w:hint="eastAsia" w:ascii="宋体" w:hAnsi="宋体"/>
                <w:szCs w:val="21"/>
              </w:rPr>
              <w:t>企业新媒体案例实践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39" w:type="dxa"/>
          </w:tcPr>
          <w:p>
            <w:pPr>
              <w:snapToGrid w:val="0"/>
              <w:jc w:val="center"/>
              <w:rPr>
                <w:rFonts w:ascii="宋体" w:hAnsi="宋体"/>
                <w:sz w:val="24"/>
              </w:rPr>
            </w:pPr>
            <w:r>
              <w:rPr>
                <w:rFonts w:hint="eastAsia" w:ascii="宋体" w:hAnsi="宋体"/>
                <w:sz w:val="24"/>
              </w:rPr>
              <w:t>4</w:t>
            </w:r>
          </w:p>
        </w:tc>
        <w:tc>
          <w:tcPr>
            <w:tcW w:w="1282" w:type="dxa"/>
            <w:vAlign w:val="center"/>
          </w:tcPr>
          <w:p>
            <w:pPr>
              <w:snapToGrid w:val="0"/>
              <w:jc w:val="center"/>
              <w:rPr>
                <w:rFonts w:ascii="宋体" w:hAnsi="宋体"/>
                <w:color w:val="FF0000"/>
                <w:sz w:val="20"/>
                <w:szCs w:val="20"/>
              </w:rPr>
            </w:pPr>
            <w:r>
              <w:rPr>
                <w:rFonts w:hint="eastAsia" w:ascii="宋体" w:hAnsi="宋体"/>
                <w:color w:val="FF0000"/>
                <w:sz w:val="20"/>
                <w:szCs w:val="20"/>
              </w:rPr>
              <w:t>LO</w:t>
            </w:r>
            <w:r>
              <w:rPr>
                <w:rFonts w:ascii="宋体" w:hAnsi="宋体"/>
                <w:color w:val="FF0000"/>
                <w:sz w:val="20"/>
                <w:szCs w:val="20"/>
              </w:rPr>
              <w:t>712</w:t>
            </w:r>
          </w:p>
        </w:tc>
        <w:tc>
          <w:tcPr>
            <w:tcW w:w="2526" w:type="dxa"/>
            <w:vAlign w:val="center"/>
          </w:tcPr>
          <w:p>
            <w:pPr>
              <w:snapToGrid w:val="0"/>
              <w:rPr>
                <w:rFonts w:ascii="宋体" w:hAnsi="宋体"/>
                <w:color w:val="FF0000"/>
                <w:szCs w:val="21"/>
              </w:rPr>
            </w:pPr>
            <w:r>
              <w:rPr>
                <w:rFonts w:hint="eastAsia" w:ascii="宋体" w:hAnsi="宋体"/>
                <w:color w:val="FF0000"/>
                <w:szCs w:val="21"/>
              </w:rPr>
              <w:t>能通过各新媒体设计创意弘扬社会主义核心价值观的作品</w:t>
            </w:r>
          </w:p>
        </w:tc>
        <w:tc>
          <w:tcPr>
            <w:tcW w:w="1876" w:type="dxa"/>
            <w:vAlign w:val="center"/>
          </w:tcPr>
          <w:p>
            <w:pPr>
              <w:snapToGrid w:val="0"/>
              <w:rPr>
                <w:rFonts w:ascii="宋体" w:hAnsi="宋体"/>
                <w:color w:val="FF0000"/>
                <w:szCs w:val="21"/>
              </w:rPr>
            </w:pPr>
            <w:r>
              <w:rPr>
                <w:rFonts w:hint="eastAsia" w:ascii="宋体" w:hAnsi="宋体"/>
                <w:color w:val="FF0000"/>
                <w:szCs w:val="21"/>
              </w:rPr>
              <w:t>课堂上通过宣讲相关思政内容，组织小组进行讨论，并针对内容进行新媒体设计</w:t>
            </w:r>
          </w:p>
        </w:tc>
        <w:tc>
          <w:tcPr>
            <w:tcW w:w="1876" w:type="dxa"/>
            <w:vAlign w:val="center"/>
          </w:tcPr>
          <w:p>
            <w:pPr>
              <w:snapToGrid w:val="0"/>
              <w:rPr>
                <w:rFonts w:ascii="宋体" w:hAnsi="宋体"/>
                <w:color w:val="FF0000"/>
                <w:szCs w:val="21"/>
              </w:rPr>
            </w:pPr>
            <w:r>
              <w:rPr>
                <w:rFonts w:hint="eastAsia" w:ascii="宋体" w:hAnsi="宋体"/>
                <w:color w:val="FF0000"/>
                <w:szCs w:val="21"/>
              </w:rPr>
              <w:t>有关社会主义核心价值观的形象及场景设计</w:t>
            </w:r>
          </w:p>
        </w:tc>
      </w:tr>
    </w:tbl>
    <w:p>
      <w:pPr>
        <w:pStyle w:val="3"/>
      </w:pPr>
      <w:r>
        <w:rPr>
          <w:rFonts w:hint="eastAsia"/>
        </w:rPr>
        <w:t>六、</w:t>
      </w:r>
      <w:r>
        <w:t>课程内容</w:t>
      </w:r>
      <w:r>
        <w:rPr>
          <w:rFonts w:hint="eastAsia"/>
        </w:rPr>
        <w:t>（红色为课程思政）</w:t>
      </w:r>
    </w:p>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11"/>
        <w:gridCol w:w="993"/>
        <w:gridCol w:w="1866"/>
        <w:gridCol w:w="1819"/>
        <w:gridCol w:w="15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jc w:val="left"/>
              <w:rPr>
                <w:rFonts w:ascii="宋体" w:hAnsi="宋体"/>
                <w:b/>
                <w:bCs/>
                <w:szCs w:val="21"/>
              </w:rPr>
            </w:pPr>
            <w:r>
              <w:rPr>
                <w:rFonts w:hint="eastAsia" w:ascii="宋体" w:hAnsi="宋体"/>
                <w:b/>
                <w:bCs/>
                <w:szCs w:val="21"/>
              </w:rPr>
              <w:t>单元</w:t>
            </w:r>
          </w:p>
        </w:tc>
        <w:tc>
          <w:tcPr>
            <w:tcW w:w="711" w:type="dxa"/>
          </w:tcPr>
          <w:p>
            <w:pPr>
              <w:jc w:val="left"/>
              <w:rPr>
                <w:rFonts w:ascii="宋体" w:hAnsi="宋体"/>
                <w:b/>
                <w:bCs/>
                <w:szCs w:val="21"/>
              </w:rPr>
            </w:pPr>
            <w:r>
              <w:rPr>
                <w:rFonts w:hint="eastAsia" w:ascii="宋体" w:hAnsi="宋体"/>
                <w:b/>
                <w:bCs/>
                <w:szCs w:val="21"/>
              </w:rPr>
              <w:t>项目</w:t>
            </w:r>
          </w:p>
          <w:p>
            <w:pPr>
              <w:jc w:val="left"/>
              <w:rPr>
                <w:rFonts w:ascii="宋体" w:hAnsi="宋体"/>
                <w:b/>
                <w:bCs/>
                <w:szCs w:val="21"/>
              </w:rPr>
            </w:pPr>
            <w:r>
              <w:rPr>
                <w:rFonts w:hint="eastAsia" w:ascii="宋体" w:hAnsi="宋体"/>
                <w:b/>
                <w:bCs/>
                <w:szCs w:val="21"/>
              </w:rPr>
              <w:t>（可转化为校内模拟情景）</w:t>
            </w:r>
          </w:p>
        </w:tc>
        <w:tc>
          <w:tcPr>
            <w:tcW w:w="993" w:type="dxa"/>
          </w:tcPr>
          <w:p>
            <w:pPr>
              <w:jc w:val="left"/>
              <w:rPr>
                <w:rFonts w:ascii="宋体" w:hAnsi="宋体"/>
                <w:b/>
                <w:bCs/>
                <w:szCs w:val="21"/>
              </w:rPr>
            </w:pPr>
            <w:r>
              <w:rPr>
                <w:rFonts w:hint="eastAsia" w:ascii="宋体" w:hAnsi="宋体"/>
                <w:b/>
                <w:bCs/>
                <w:szCs w:val="21"/>
              </w:rPr>
              <w:t>子项目</w:t>
            </w:r>
          </w:p>
        </w:tc>
        <w:tc>
          <w:tcPr>
            <w:tcW w:w="1866" w:type="dxa"/>
          </w:tcPr>
          <w:p>
            <w:pPr>
              <w:jc w:val="left"/>
              <w:rPr>
                <w:rFonts w:ascii="宋体" w:hAnsi="宋体"/>
                <w:b/>
                <w:bCs/>
                <w:szCs w:val="21"/>
              </w:rPr>
            </w:pPr>
            <w:r>
              <w:rPr>
                <w:rFonts w:hint="eastAsia" w:ascii="宋体" w:hAnsi="宋体"/>
                <w:b/>
                <w:bCs/>
                <w:szCs w:val="21"/>
              </w:rPr>
              <w:t>工作任务（每个任务4课时每周次）合计15个教学周含上课地点和内容</w:t>
            </w:r>
          </w:p>
        </w:tc>
        <w:tc>
          <w:tcPr>
            <w:tcW w:w="1819" w:type="dxa"/>
          </w:tcPr>
          <w:p>
            <w:pPr>
              <w:jc w:val="left"/>
              <w:rPr>
                <w:rFonts w:ascii="宋体" w:hAnsi="宋体"/>
                <w:b/>
                <w:bCs/>
                <w:szCs w:val="21"/>
              </w:rPr>
            </w:pPr>
            <w:r>
              <w:rPr>
                <w:rFonts w:hint="eastAsia" w:ascii="宋体" w:hAnsi="宋体"/>
                <w:b/>
                <w:bCs/>
                <w:szCs w:val="21"/>
              </w:rPr>
              <w:t>能力要求</w:t>
            </w:r>
          </w:p>
        </w:tc>
        <w:tc>
          <w:tcPr>
            <w:tcW w:w="1559" w:type="dxa"/>
          </w:tcPr>
          <w:p>
            <w:pPr>
              <w:jc w:val="left"/>
              <w:rPr>
                <w:rFonts w:ascii="宋体" w:hAnsi="宋体"/>
                <w:b/>
                <w:bCs/>
                <w:szCs w:val="21"/>
              </w:rPr>
            </w:pPr>
            <w:r>
              <w:rPr>
                <w:rFonts w:hint="eastAsia" w:ascii="宋体" w:hAnsi="宋体"/>
                <w:b/>
                <w:bCs/>
                <w:szCs w:val="21"/>
              </w:rPr>
              <w:t>知识要求</w:t>
            </w:r>
          </w:p>
        </w:tc>
        <w:tc>
          <w:tcPr>
            <w:tcW w:w="877" w:type="dxa"/>
          </w:tcPr>
          <w:p>
            <w:pPr>
              <w:jc w:val="left"/>
              <w:rPr>
                <w:rFonts w:ascii="宋体" w:hAnsi="宋体"/>
                <w:b/>
                <w:bCs/>
                <w:szCs w:val="21"/>
              </w:rPr>
            </w:pPr>
            <w:r>
              <w:rPr>
                <w:rFonts w:hint="eastAsia" w:ascii="宋体" w:hAnsi="宋体"/>
                <w:b/>
                <w:bCs/>
                <w:szCs w:val="21"/>
              </w:rPr>
              <w:t>项目质量标准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jc w:val="left"/>
              <w:rPr>
                <w:rFonts w:ascii="宋体" w:hAnsi="宋体"/>
                <w:b/>
                <w:bCs/>
                <w:szCs w:val="21"/>
              </w:rPr>
            </w:pPr>
            <w:r>
              <w:rPr>
                <w:rFonts w:hint="eastAsia" w:ascii="宋体" w:hAnsi="宋体"/>
                <w:b/>
                <w:bCs/>
                <w:szCs w:val="21"/>
              </w:rPr>
              <w:t>1</w:t>
            </w:r>
          </w:p>
        </w:tc>
        <w:tc>
          <w:tcPr>
            <w:tcW w:w="711" w:type="dxa"/>
            <w:vMerge w:val="restart"/>
          </w:tcPr>
          <w:p>
            <w:pPr>
              <w:jc w:val="left"/>
              <w:rPr>
                <w:rFonts w:ascii="宋体" w:hAnsi="宋体"/>
                <w:b/>
                <w:bCs/>
                <w:szCs w:val="21"/>
              </w:rPr>
            </w:pPr>
            <w:r>
              <w:rPr>
                <w:rFonts w:hint="eastAsia"/>
              </w:rPr>
              <w:t>以C</w:t>
            </w:r>
            <w:r>
              <w:t>4D</w:t>
            </w:r>
            <w:r>
              <w:rPr>
                <w:rFonts w:hint="eastAsia"/>
              </w:rPr>
              <w:t>三维制作为主的新媒体设计技术</w:t>
            </w:r>
          </w:p>
        </w:tc>
        <w:tc>
          <w:tcPr>
            <w:tcW w:w="993" w:type="dxa"/>
            <w:vMerge w:val="restart"/>
          </w:tcPr>
          <w:p>
            <w:pPr>
              <w:rPr>
                <w:rFonts w:ascii="宋体" w:hAnsi="宋体"/>
                <w:color w:val="000000"/>
                <w:szCs w:val="21"/>
              </w:rPr>
            </w:pPr>
            <w:r>
              <w:rPr>
                <w:rFonts w:hint="eastAsia" w:ascii="宋体" w:hAnsi="宋体"/>
                <w:color w:val="000000"/>
                <w:szCs w:val="21"/>
              </w:rPr>
              <w:t>软件的基本应用</w:t>
            </w:r>
          </w:p>
          <w:p>
            <w:pPr>
              <w:jc w:val="left"/>
              <w:rPr>
                <w:rFonts w:ascii="宋体" w:hAnsi="宋体"/>
                <w:b/>
                <w:bCs/>
                <w:szCs w:val="21"/>
              </w:rPr>
            </w:pPr>
            <w:r>
              <w:rPr>
                <w:rFonts w:hint="eastAsia" w:ascii="宋体" w:hAnsi="宋体"/>
                <w:color w:val="000000"/>
                <w:szCs w:val="21"/>
              </w:rPr>
              <w:t>（40课时）</w:t>
            </w:r>
          </w:p>
        </w:tc>
        <w:tc>
          <w:tcPr>
            <w:tcW w:w="1866" w:type="dxa"/>
            <w:vMerge w:val="restart"/>
          </w:tcPr>
          <w:p>
            <w:pPr>
              <w:rPr>
                <w:rFonts w:ascii="宋体" w:hAnsi="宋体"/>
                <w:color w:val="000000"/>
                <w:szCs w:val="21"/>
              </w:rPr>
            </w:pPr>
            <w:r>
              <w:rPr>
                <w:rFonts w:hint="eastAsia" w:ascii="宋体" w:hAnsi="宋体"/>
                <w:color w:val="000000"/>
                <w:szCs w:val="21"/>
              </w:rPr>
              <w:t>1-1了解C</w:t>
            </w:r>
            <w:r>
              <w:rPr>
                <w:rFonts w:ascii="宋体" w:hAnsi="宋体"/>
                <w:color w:val="000000"/>
                <w:szCs w:val="21"/>
              </w:rPr>
              <w:t>4D</w:t>
            </w:r>
            <w:r>
              <w:rPr>
                <w:rFonts w:hint="eastAsia" w:ascii="宋体" w:hAnsi="宋体"/>
                <w:color w:val="000000"/>
                <w:szCs w:val="21"/>
              </w:rPr>
              <w:t>软件能在工作中带来什么、熟悉界面以及基本运用（线上讲授方法）</w:t>
            </w:r>
          </w:p>
          <w:p>
            <w:pPr>
              <w:rPr>
                <w:rFonts w:ascii="宋体" w:hAnsi="宋体"/>
                <w:szCs w:val="21"/>
              </w:rPr>
            </w:pPr>
            <w:r>
              <w:rPr>
                <w:rFonts w:hint="eastAsia" w:ascii="宋体" w:hAnsi="宋体"/>
                <w:szCs w:val="21"/>
              </w:rPr>
              <w:t>（理论10课时）</w:t>
            </w:r>
          </w:p>
          <w:p>
            <w:pPr>
              <w:rPr>
                <w:rFonts w:ascii="宋体" w:hAnsi="宋体"/>
                <w:szCs w:val="21"/>
              </w:rPr>
            </w:pPr>
            <w:r>
              <w:rPr>
                <w:rFonts w:hint="eastAsia" w:ascii="宋体" w:hAnsi="宋体"/>
                <w:szCs w:val="21"/>
              </w:rPr>
              <w:t>（实践8课时）</w:t>
            </w:r>
          </w:p>
          <w:p>
            <w:pPr>
              <w:jc w:val="left"/>
              <w:rPr>
                <w:rFonts w:ascii="宋体" w:hAnsi="宋体"/>
                <w:b/>
                <w:bCs/>
                <w:szCs w:val="21"/>
              </w:rPr>
            </w:pPr>
          </w:p>
        </w:tc>
        <w:tc>
          <w:tcPr>
            <w:tcW w:w="1819" w:type="dxa"/>
          </w:tcPr>
          <w:p>
            <w:pPr>
              <w:rPr>
                <w:rFonts w:hint="eastAsia" w:ascii="宋体" w:hAnsi="宋体"/>
                <w:szCs w:val="21"/>
              </w:rPr>
            </w:pPr>
            <w:r>
              <w:rPr>
                <w:rFonts w:hint="eastAsia" w:ascii="宋体" w:hAnsi="宋体"/>
                <w:szCs w:val="21"/>
              </w:rPr>
              <w:t>1-1-1能够通过软件的讲解对C</w:t>
            </w:r>
            <w:r>
              <w:rPr>
                <w:rFonts w:ascii="宋体" w:hAnsi="宋体"/>
                <w:szCs w:val="21"/>
              </w:rPr>
              <w:t>4D</w:t>
            </w:r>
            <w:r>
              <w:rPr>
                <w:rFonts w:hint="eastAsia" w:ascii="宋体" w:hAnsi="宋体"/>
                <w:szCs w:val="21"/>
              </w:rPr>
              <w:t>界面中的板块应用有所了解</w:t>
            </w:r>
          </w:p>
          <w:p>
            <w:pPr>
              <w:rPr>
                <w:rFonts w:ascii="宋体" w:hAnsi="宋体"/>
                <w:szCs w:val="21"/>
              </w:rPr>
            </w:pPr>
          </w:p>
        </w:tc>
        <w:tc>
          <w:tcPr>
            <w:tcW w:w="1559" w:type="dxa"/>
          </w:tcPr>
          <w:p>
            <w:pPr>
              <w:rPr>
                <w:rFonts w:ascii="宋体" w:hAnsi="宋体"/>
                <w:szCs w:val="21"/>
              </w:rPr>
            </w:pPr>
            <w:r>
              <w:rPr>
                <w:rFonts w:hint="eastAsia" w:ascii="宋体" w:hAnsi="宋体"/>
                <w:szCs w:val="21"/>
              </w:rPr>
              <w:t>1-1-1软件的相关技术知识</w:t>
            </w:r>
          </w:p>
        </w:tc>
        <w:tc>
          <w:tcPr>
            <w:tcW w:w="877" w:type="dxa"/>
            <w:vMerge w:val="restart"/>
          </w:tcPr>
          <w:p>
            <w:pPr>
              <w:jc w:val="left"/>
              <w:rPr>
                <w:rFonts w:ascii="宋体" w:hAnsi="宋体"/>
                <w:b/>
                <w:bCs/>
                <w:szCs w:val="21"/>
              </w:rPr>
            </w:pPr>
            <w:r>
              <w:rPr>
                <w:rFonts w:hint="eastAsia" w:ascii="宋体" w:hAnsi="宋体"/>
                <w:color w:val="000000"/>
                <w:szCs w:val="21"/>
              </w:rPr>
              <w:t>C</w:t>
            </w:r>
            <w:r>
              <w:rPr>
                <w:rFonts w:ascii="宋体" w:hAnsi="宋体"/>
                <w:color w:val="000000"/>
                <w:szCs w:val="21"/>
              </w:rPr>
              <w:t>4D</w:t>
            </w:r>
            <w:r>
              <w:rPr>
                <w:rFonts w:hint="eastAsia" w:ascii="宋体" w:hAnsi="宋体"/>
                <w:color w:val="000000"/>
                <w:szCs w:val="21"/>
              </w:rPr>
              <w:t>的相关案例制作（企业方制定具体标准）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jc w:val="left"/>
              <w:rPr>
                <w:rFonts w:ascii="宋体" w:hAnsi="宋体"/>
                <w:b/>
                <w:bCs/>
                <w:szCs w:val="21"/>
              </w:rPr>
            </w:pPr>
          </w:p>
        </w:tc>
        <w:tc>
          <w:tcPr>
            <w:tcW w:w="711" w:type="dxa"/>
            <w:vMerge w:val="continue"/>
          </w:tcPr>
          <w:p>
            <w:pPr>
              <w:jc w:val="left"/>
              <w:rPr>
                <w:rFonts w:ascii="宋体" w:hAnsi="宋体"/>
                <w:b/>
                <w:bCs/>
                <w:szCs w:val="21"/>
              </w:rPr>
            </w:pPr>
          </w:p>
        </w:tc>
        <w:tc>
          <w:tcPr>
            <w:tcW w:w="993" w:type="dxa"/>
            <w:vMerge w:val="continue"/>
          </w:tcPr>
          <w:p>
            <w:pPr>
              <w:jc w:val="left"/>
              <w:rPr>
                <w:rFonts w:ascii="宋体" w:hAnsi="宋体"/>
                <w:b/>
                <w:bCs/>
                <w:szCs w:val="21"/>
              </w:rPr>
            </w:pPr>
          </w:p>
        </w:tc>
        <w:tc>
          <w:tcPr>
            <w:tcW w:w="1866" w:type="dxa"/>
            <w:vMerge w:val="continue"/>
          </w:tcPr>
          <w:p>
            <w:pPr>
              <w:jc w:val="left"/>
              <w:rPr>
                <w:rFonts w:ascii="宋体" w:hAnsi="宋体"/>
                <w:b/>
                <w:bCs/>
                <w:szCs w:val="21"/>
              </w:rPr>
            </w:pPr>
          </w:p>
        </w:tc>
        <w:tc>
          <w:tcPr>
            <w:tcW w:w="1819" w:type="dxa"/>
          </w:tcPr>
          <w:p>
            <w:pPr>
              <w:rPr>
                <w:rFonts w:ascii="宋体" w:hAnsi="宋体"/>
                <w:szCs w:val="21"/>
              </w:rPr>
            </w:pPr>
            <w:r>
              <w:rPr>
                <w:rFonts w:hint="eastAsia" w:ascii="宋体" w:hAnsi="宋体"/>
                <w:szCs w:val="21"/>
              </w:rPr>
              <w:t>1-1-2能够通过软件的讲解对C</w:t>
            </w:r>
            <w:r>
              <w:rPr>
                <w:rFonts w:ascii="宋体" w:hAnsi="宋体"/>
                <w:szCs w:val="21"/>
              </w:rPr>
              <w:t>4D</w:t>
            </w:r>
            <w:r>
              <w:rPr>
                <w:rFonts w:hint="eastAsia" w:ascii="宋体" w:hAnsi="宋体"/>
                <w:szCs w:val="21"/>
              </w:rPr>
              <w:t>的样条路径、运动图形、场景搭建有所了解，并能熟练运用</w:t>
            </w:r>
          </w:p>
        </w:tc>
        <w:tc>
          <w:tcPr>
            <w:tcW w:w="1559" w:type="dxa"/>
          </w:tcPr>
          <w:p>
            <w:pP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软件的相关技术知识</w:t>
            </w:r>
          </w:p>
        </w:tc>
        <w:tc>
          <w:tcPr>
            <w:tcW w:w="877" w:type="dxa"/>
            <w:vMerge w:val="continue"/>
          </w:tcPr>
          <w:p>
            <w:pPr>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jc w:val="left"/>
              <w:rPr>
                <w:rFonts w:ascii="宋体" w:hAnsi="宋体"/>
                <w:b/>
                <w:bCs/>
                <w:szCs w:val="21"/>
              </w:rPr>
            </w:pPr>
          </w:p>
        </w:tc>
        <w:tc>
          <w:tcPr>
            <w:tcW w:w="711" w:type="dxa"/>
            <w:vMerge w:val="continue"/>
          </w:tcPr>
          <w:p>
            <w:pPr>
              <w:jc w:val="left"/>
              <w:rPr>
                <w:rFonts w:ascii="宋体" w:hAnsi="宋体"/>
                <w:b/>
                <w:bCs/>
                <w:szCs w:val="21"/>
              </w:rPr>
            </w:pPr>
          </w:p>
        </w:tc>
        <w:tc>
          <w:tcPr>
            <w:tcW w:w="993" w:type="dxa"/>
            <w:vMerge w:val="continue"/>
          </w:tcPr>
          <w:p>
            <w:pPr>
              <w:jc w:val="left"/>
              <w:rPr>
                <w:rFonts w:ascii="宋体" w:hAnsi="宋体"/>
                <w:b/>
                <w:bCs/>
                <w:szCs w:val="21"/>
              </w:rPr>
            </w:pPr>
          </w:p>
        </w:tc>
        <w:tc>
          <w:tcPr>
            <w:tcW w:w="1866" w:type="dxa"/>
            <w:vMerge w:val="restart"/>
          </w:tcPr>
          <w:p>
            <w:pPr>
              <w:rPr>
                <w:rFonts w:ascii="宋体" w:hAnsi="宋体"/>
                <w:color w:val="000000"/>
                <w:szCs w:val="21"/>
              </w:rPr>
            </w:pPr>
            <w:r>
              <w:rPr>
                <w:rFonts w:hint="eastAsia" w:ascii="宋体" w:hAnsi="宋体"/>
                <w:color w:val="000000"/>
                <w:szCs w:val="21"/>
              </w:rPr>
              <w:t>1-2</w:t>
            </w:r>
            <w:r>
              <w:rPr>
                <w:rFonts w:ascii="宋体" w:hAnsi="宋体"/>
                <w:color w:val="000000"/>
                <w:szCs w:val="21"/>
              </w:rPr>
              <w:t xml:space="preserve"> </w:t>
            </w:r>
            <w:r>
              <w:rPr>
                <w:rFonts w:hint="eastAsia" w:ascii="宋体" w:hAnsi="宋体"/>
                <w:color w:val="000000"/>
                <w:szCs w:val="21"/>
              </w:rPr>
              <w:t>C</w:t>
            </w:r>
            <w:r>
              <w:rPr>
                <w:rFonts w:ascii="宋体" w:hAnsi="宋体"/>
                <w:color w:val="000000"/>
                <w:szCs w:val="21"/>
              </w:rPr>
              <w:t>4D</w:t>
            </w:r>
            <w:r>
              <w:rPr>
                <w:rFonts w:hint="eastAsia" w:ascii="宋体" w:hAnsi="宋体"/>
                <w:color w:val="000000"/>
                <w:szCs w:val="21"/>
              </w:rPr>
              <w:t>复杂命令的综合运用</w:t>
            </w:r>
          </w:p>
          <w:p>
            <w:pPr>
              <w:rPr>
                <w:rFonts w:ascii="宋体" w:hAnsi="宋体"/>
                <w:szCs w:val="21"/>
              </w:rPr>
            </w:pPr>
            <w:r>
              <w:rPr>
                <w:rFonts w:hint="eastAsia" w:ascii="宋体" w:hAnsi="宋体"/>
                <w:szCs w:val="21"/>
              </w:rPr>
              <w:t>（理论8课时）</w:t>
            </w:r>
          </w:p>
          <w:p>
            <w:pPr>
              <w:rPr>
                <w:rFonts w:ascii="宋体" w:hAnsi="宋体"/>
                <w:szCs w:val="21"/>
              </w:rPr>
            </w:pPr>
            <w:r>
              <w:rPr>
                <w:rFonts w:hint="eastAsia" w:ascii="宋体" w:hAnsi="宋体"/>
                <w:szCs w:val="21"/>
              </w:rPr>
              <w:t>（实践6课时）</w:t>
            </w:r>
          </w:p>
          <w:p>
            <w:pPr>
              <w:jc w:val="left"/>
              <w:rPr>
                <w:rFonts w:ascii="宋体" w:hAnsi="宋体"/>
                <w:b/>
                <w:bCs/>
                <w:szCs w:val="21"/>
              </w:rPr>
            </w:pPr>
          </w:p>
        </w:tc>
        <w:tc>
          <w:tcPr>
            <w:tcW w:w="1819" w:type="dxa"/>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-1能够通过软件的讲解对C</w:t>
            </w:r>
            <w:r>
              <w:rPr>
                <w:rFonts w:ascii="宋体" w:hAnsi="宋体"/>
                <w:szCs w:val="21"/>
              </w:rPr>
              <w:t>4D</w:t>
            </w:r>
            <w:r>
              <w:rPr>
                <w:rFonts w:hint="eastAsia" w:ascii="宋体" w:hAnsi="宋体"/>
                <w:szCs w:val="21"/>
              </w:rPr>
              <w:t>复杂模型的布线有所了解，并能熟练运用</w:t>
            </w:r>
          </w:p>
        </w:tc>
        <w:tc>
          <w:tcPr>
            <w:tcW w:w="1559" w:type="dxa"/>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-1软件的相关技术知识</w:t>
            </w:r>
          </w:p>
        </w:tc>
        <w:tc>
          <w:tcPr>
            <w:tcW w:w="877" w:type="dxa"/>
            <w:vMerge w:val="continue"/>
          </w:tcPr>
          <w:p>
            <w:pPr>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jc w:val="left"/>
              <w:rPr>
                <w:rFonts w:ascii="宋体" w:hAnsi="宋体"/>
                <w:b/>
                <w:bCs/>
                <w:szCs w:val="21"/>
              </w:rPr>
            </w:pPr>
          </w:p>
        </w:tc>
        <w:tc>
          <w:tcPr>
            <w:tcW w:w="711" w:type="dxa"/>
            <w:vMerge w:val="continue"/>
          </w:tcPr>
          <w:p>
            <w:pPr>
              <w:jc w:val="left"/>
              <w:rPr>
                <w:rFonts w:ascii="宋体" w:hAnsi="宋体"/>
                <w:b/>
                <w:bCs/>
                <w:szCs w:val="21"/>
              </w:rPr>
            </w:pPr>
          </w:p>
        </w:tc>
        <w:tc>
          <w:tcPr>
            <w:tcW w:w="993" w:type="dxa"/>
            <w:vMerge w:val="continue"/>
          </w:tcPr>
          <w:p>
            <w:pPr>
              <w:jc w:val="left"/>
              <w:rPr>
                <w:rFonts w:ascii="宋体" w:hAnsi="宋体"/>
                <w:b/>
                <w:bCs/>
                <w:szCs w:val="21"/>
              </w:rPr>
            </w:pPr>
          </w:p>
        </w:tc>
        <w:tc>
          <w:tcPr>
            <w:tcW w:w="1866" w:type="dxa"/>
            <w:vMerge w:val="continue"/>
          </w:tcPr>
          <w:p>
            <w:pPr>
              <w:jc w:val="left"/>
              <w:rPr>
                <w:rFonts w:ascii="宋体" w:hAnsi="宋体"/>
                <w:b/>
                <w:bCs/>
                <w:szCs w:val="21"/>
              </w:rPr>
            </w:pPr>
          </w:p>
        </w:tc>
        <w:tc>
          <w:tcPr>
            <w:tcW w:w="1819" w:type="dxa"/>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-2能够通过软件的讲解对C</w:t>
            </w:r>
            <w:r>
              <w:rPr>
                <w:rFonts w:ascii="宋体" w:hAnsi="宋体"/>
                <w:szCs w:val="21"/>
              </w:rPr>
              <w:t>4D</w:t>
            </w:r>
            <w:r>
              <w:rPr>
                <w:rFonts w:hint="eastAsia" w:ascii="宋体" w:hAnsi="宋体"/>
                <w:szCs w:val="21"/>
              </w:rPr>
              <w:t>海报设计方向、类型有所了解，并能熟练运用</w:t>
            </w:r>
          </w:p>
        </w:tc>
        <w:tc>
          <w:tcPr>
            <w:tcW w:w="1559" w:type="dxa"/>
          </w:tcPr>
          <w:p>
            <w:pPr>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客户需求及软件的相关技术知识</w:t>
            </w:r>
          </w:p>
        </w:tc>
        <w:tc>
          <w:tcPr>
            <w:tcW w:w="877" w:type="dxa"/>
            <w:vMerge w:val="continue"/>
          </w:tcPr>
          <w:p>
            <w:pPr>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jc w:val="left"/>
              <w:rPr>
                <w:rFonts w:ascii="宋体" w:hAnsi="宋体"/>
                <w:b/>
                <w:bCs/>
                <w:szCs w:val="21"/>
              </w:rPr>
            </w:pPr>
          </w:p>
        </w:tc>
        <w:tc>
          <w:tcPr>
            <w:tcW w:w="711" w:type="dxa"/>
            <w:vMerge w:val="continue"/>
          </w:tcPr>
          <w:p>
            <w:pPr>
              <w:jc w:val="left"/>
              <w:rPr>
                <w:rFonts w:ascii="宋体" w:hAnsi="宋体"/>
                <w:b/>
                <w:bCs/>
                <w:szCs w:val="21"/>
              </w:rPr>
            </w:pPr>
          </w:p>
        </w:tc>
        <w:tc>
          <w:tcPr>
            <w:tcW w:w="993" w:type="dxa"/>
            <w:vMerge w:val="restart"/>
          </w:tcPr>
          <w:p>
            <w:pPr>
              <w:rPr>
                <w:rFonts w:ascii="宋体" w:hAnsi="宋体"/>
                <w:b/>
                <w:bCs/>
                <w:color w:val="FF0000"/>
                <w:szCs w:val="21"/>
              </w:rPr>
            </w:pPr>
            <w:r>
              <w:rPr>
                <w:rFonts w:hint="eastAsia" w:ascii="宋体" w:hAnsi="宋体"/>
                <w:color w:val="FF0000"/>
                <w:szCs w:val="21"/>
              </w:rPr>
              <w:t>三维形象及场景建立（</w:t>
            </w:r>
            <w:r>
              <w:rPr>
                <w:rFonts w:ascii="宋体" w:hAnsi="宋体"/>
                <w:color w:val="FF0000"/>
                <w:szCs w:val="21"/>
              </w:rPr>
              <w:t>4</w:t>
            </w:r>
            <w:r>
              <w:rPr>
                <w:rFonts w:hint="eastAsia" w:ascii="宋体" w:hAnsi="宋体"/>
                <w:color w:val="FF0000"/>
                <w:szCs w:val="21"/>
              </w:rPr>
              <w:t>课时）</w:t>
            </w:r>
          </w:p>
        </w:tc>
        <w:tc>
          <w:tcPr>
            <w:tcW w:w="1866" w:type="dxa"/>
            <w:vMerge w:val="restart"/>
          </w:tcPr>
          <w:p>
            <w:pPr>
              <w:jc w:val="left"/>
              <w:rPr>
                <w:rFonts w:ascii="宋体" w:hAnsi="宋体"/>
                <w:color w:val="FF0000"/>
                <w:szCs w:val="21"/>
              </w:rPr>
            </w:pPr>
            <w:r>
              <w:rPr>
                <w:rFonts w:ascii="宋体" w:hAnsi="宋体"/>
                <w:color w:val="FF0000"/>
                <w:szCs w:val="21"/>
              </w:rPr>
              <w:t>1</w:t>
            </w:r>
            <w:r>
              <w:rPr>
                <w:rFonts w:hint="eastAsia" w:ascii="宋体" w:hAnsi="宋体"/>
                <w:color w:val="FF0000"/>
                <w:szCs w:val="21"/>
              </w:rPr>
              <w:t>-</w:t>
            </w:r>
            <w:r>
              <w:rPr>
                <w:rFonts w:ascii="宋体" w:hAnsi="宋体"/>
                <w:color w:val="FF0000"/>
                <w:szCs w:val="21"/>
              </w:rPr>
              <w:t>3</w:t>
            </w:r>
            <w:r>
              <w:rPr>
                <w:rFonts w:hint="eastAsia" w:ascii="宋体" w:hAnsi="宋体"/>
                <w:color w:val="FF0000"/>
                <w:szCs w:val="21"/>
              </w:rPr>
              <w:t>设计雷锋三维形象、传统文化场景搭建</w:t>
            </w:r>
          </w:p>
          <w:p>
            <w:pPr>
              <w:jc w:val="left"/>
              <w:rPr>
                <w:rFonts w:ascii="宋体" w:hAnsi="宋体"/>
                <w:color w:val="FF0000"/>
                <w:szCs w:val="21"/>
              </w:rPr>
            </w:pPr>
            <w:r>
              <w:rPr>
                <w:rFonts w:hint="eastAsia" w:ascii="宋体" w:hAnsi="宋体"/>
                <w:color w:val="FF0000"/>
                <w:szCs w:val="21"/>
              </w:rPr>
              <w:t>（理论2课时）</w:t>
            </w:r>
          </w:p>
          <w:p>
            <w:pPr>
              <w:jc w:val="left"/>
              <w:rPr>
                <w:rFonts w:ascii="宋体" w:hAnsi="宋体"/>
                <w:color w:val="FF0000"/>
                <w:szCs w:val="21"/>
              </w:rPr>
            </w:pPr>
            <w:r>
              <w:rPr>
                <w:rFonts w:hint="eastAsia" w:ascii="宋体" w:hAnsi="宋体"/>
                <w:color w:val="FF0000"/>
                <w:szCs w:val="21"/>
              </w:rPr>
              <w:t>（实践8课时）</w:t>
            </w:r>
          </w:p>
        </w:tc>
        <w:tc>
          <w:tcPr>
            <w:tcW w:w="1819" w:type="dxa"/>
          </w:tcPr>
          <w:p>
            <w:pPr>
              <w:jc w:val="left"/>
              <w:rPr>
                <w:rFonts w:ascii="宋体" w:hAnsi="宋体"/>
                <w:color w:val="FF0000"/>
                <w:szCs w:val="21"/>
              </w:rPr>
            </w:pPr>
            <w:r>
              <w:rPr>
                <w:rFonts w:ascii="宋体" w:hAnsi="宋体"/>
                <w:color w:val="FF0000"/>
                <w:szCs w:val="21"/>
              </w:rPr>
              <w:t>1</w:t>
            </w:r>
            <w:r>
              <w:rPr>
                <w:rFonts w:hint="eastAsia" w:ascii="宋体" w:hAnsi="宋体"/>
                <w:color w:val="FF0000"/>
                <w:szCs w:val="21"/>
              </w:rPr>
              <w:t>-</w:t>
            </w:r>
            <w:r>
              <w:rPr>
                <w:rFonts w:ascii="宋体" w:hAnsi="宋体"/>
                <w:color w:val="FF0000"/>
                <w:szCs w:val="21"/>
              </w:rPr>
              <w:t>3</w:t>
            </w:r>
            <w:r>
              <w:rPr>
                <w:rFonts w:hint="eastAsia" w:ascii="宋体" w:hAnsi="宋体"/>
                <w:color w:val="FF0000"/>
                <w:szCs w:val="21"/>
              </w:rPr>
              <w:t>-</w:t>
            </w:r>
            <w:r>
              <w:rPr>
                <w:rFonts w:ascii="宋体" w:hAnsi="宋体"/>
                <w:color w:val="FF0000"/>
                <w:szCs w:val="21"/>
              </w:rPr>
              <w:t>1</w:t>
            </w:r>
            <w:r>
              <w:rPr>
                <w:rFonts w:hint="eastAsia" w:ascii="宋体" w:hAnsi="宋体"/>
                <w:color w:val="FF0000"/>
                <w:szCs w:val="21"/>
              </w:rPr>
              <w:t>参观学校雷锋馆、国政馆，能理解新时代雷锋精神内涵</w:t>
            </w:r>
          </w:p>
        </w:tc>
        <w:tc>
          <w:tcPr>
            <w:tcW w:w="1559" w:type="dxa"/>
          </w:tcPr>
          <w:p>
            <w:pPr>
              <w:jc w:val="left"/>
              <w:rPr>
                <w:rFonts w:ascii="宋体" w:hAnsi="宋体"/>
                <w:color w:val="FF0000"/>
                <w:szCs w:val="21"/>
              </w:rPr>
            </w:pPr>
            <w:r>
              <w:rPr>
                <w:rFonts w:ascii="宋体" w:hAnsi="宋体"/>
                <w:color w:val="FF0000"/>
                <w:szCs w:val="21"/>
              </w:rPr>
              <w:t>1</w:t>
            </w:r>
            <w:r>
              <w:rPr>
                <w:rFonts w:hint="eastAsia" w:ascii="宋体" w:hAnsi="宋体"/>
                <w:color w:val="FF0000"/>
                <w:szCs w:val="21"/>
              </w:rPr>
              <w:t>-</w:t>
            </w:r>
            <w:r>
              <w:rPr>
                <w:rFonts w:ascii="宋体" w:hAnsi="宋体"/>
                <w:color w:val="FF0000"/>
                <w:szCs w:val="21"/>
              </w:rPr>
              <w:t>3</w:t>
            </w:r>
            <w:r>
              <w:rPr>
                <w:rFonts w:hint="eastAsia" w:ascii="宋体" w:hAnsi="宋体"/>
                <w:color w:val="FF0000"/>
                <w:szCs w:val="21"/>
              </w:rPr>
              <w:t>-</w:t>
            </w:r>
            <w:r>
              <w:rPr>
                <w:rFonts w:ascii="宋体" w:hAnsi="宋体"/>
                <w:color w:val="FF0000"/>
                <w:szCs w:val="21"/>
              </w:rPr>
              <w:t>1</w:t>
            </w:r>
            <w:r>
              <w:rPr>
                <w:rFonts w:hint="eastAsia" w:ascii="宋体" w:hAnsi="宋体"/>
                <w:color w:val="FF0000"/>
                <w:szCs w:val="21"/>
              </w:rPr>
              <w:t>结合软件进行新时代雷锋造型的设计与制作</w:t>
            </w:r>
          </w:p>
        </w:tc>
        <w:tc>
          <w:tcPr>
            <w:tcW w:w="877" w:type="dxa"/>
            <w:vMerge w:val="restart"/>
          </w:tcPr>
          <w:p>
            <w:pPr>
              <w:jc w:val="left"/>
              <w:rPr>
                <w:rFonts w:ascii="宋体" w:hAnsi="宋体"/>
                <w:szCs w:val="21"/>
              </w:rPr>
            </w:pPr>
            <w:r>
              <w:rPr>
                <w:rFonts w:hint="eastAsia" w:ascii="宋体" w:hAnsi="宋体"/>
                <w:color w:val="FF0000"/>
                <w:szCs w:val="21"/>
              </w:rPr>
              <w:t>雷锋形象、梁祝场景制作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jc w:val="left"/>
              <w:rPr>
                <w:rFonts w:ascii="宋体" w:hAnsi="宋体"/>
                <w:b/>
                <w:bCs/>
                <w:szCs w:val="21"/>
              </w:rPr>
            </w:pPr>
          </w:p>
        </w:tc>
        <w:tc>
          <w:tcPr>
            <w:tcW w:w="711" w:type="dxa"/>
            <w:vMerge w:val="continue"/>
          </w:tcPr>
          <w:p>
            <w:pPr>
              <w:jc w:val="left"/>
              <w:rPr>
                <w:rFonts w:ascii="宋体" w:hAnsi="宋体"/>
                <w:b/>
                <w:bCs/>
                <w:szCs w:val="21"/>
              </w:rPr>
            </w:pPr>
          </w:p>
        </w:tc>
        <w:tc>
          <w:tcPr>
            <w:tcW w:w="993" w:type="dxa"/>
            <w:vMerge w:val="continue"/>
          </w:tcPr>
          <w:p>
            <w:pPr>
              <w:jc w:val="left"/>
              <w:rPr>
                <w:rFonts w:ascii="宋体" w:hAnsi="宋体"/>
                <w:b/>
                <w:bCs/>
                <w:color w:val="FF0000"/>
                <w:szCs w:val="21"/>
              </w:rPr>
            </w:pPr>
          </w:p>
        </w:tc>
        <w:tc>
          <w:tcPr>
            <w:tcW w:w="1866" w:type="dxa"/>
            <w:vMerge w:val="continue"/>
          </w:tcPr>
          <w:p>
            <w:pPr>
              <w:jc w:val="left"/>
              <w:rPr>
                <w:rFonts w:ascii="宋体" w:hAnsi="宋体"/>
                <w:b/>
                <w:bCs/>
                <w:color w:val="FF0000"/>
                <w:szCs w:val="21"/>
              </w:rPr>
            </w:pPr>
          </w:p>
        </w:tc>
        <w:tc>
          <w:tcPr>
            <w:tcW w:w="1819" w:type="dxa"/>
          </w:tcPr>
          <w:p>
            <w:pPr>
              <w:jc w:val="left"/>
              <w:rPr>
                <w:rFonts w:ascii="宋体" w:hAnsi="宋体"/>
                <w:color w:val="FF0000"/>
                <w:szCs w:val="21"/>
              </w:rPr>
            </w:pPr>
            <w:r>
              <w:rPr>
                <w:rFonts w:ascii="宋体" w:hAnsi="宋体"/>
                <w:color w:val="FF0000"/>
                <w:szCs w:val="21"/>
              </w:rPr>
              <w:t>1</w:t>
            </w:r>
            <w:r>
              <w:rPr>
                <w:rFonts w:hint="eastAsia" w:ascii="宋体" w:hAnsi="宋体"/>
                <w:color w:val="FF0000"/>
                <w:szCs w:val="21"/>
              </w:rPr>
              <w:t>-</w:t>
            </w:r>
            <w:r>
              <w:rPr>
                <w:rFonts w:ascii="宋体" w:hAnsi="宋体"/>
                <w:color w:val="FF0000"/>
                <w:szCs w:val="21"/>
              </w:rPr>
              <w:t>3</w:t>
            </w:r>
            <w:r>
              <w:rPr>
                <w:rFonts w:hint="eastAsia" w:ascii="宋体" w:hAnsi="宋体"/>
                <w:color w:val="FF0000"/>
                <w:szCs w:val="21"/>
              </w:rPr>
              <w:t>-</w:t>
            </w:r>
            <w:r>
              <w:rPr>
                <w:rFonts w:ascii="宋体" w:hAnsi="宋体"/>
                <w:color w:val="FF0000"/>
                <w:szCs w:val="21"/>
              </w:rPr>
              <w:t>2</w:t>
            </w:r>
            <w:r>
              <w:rPr>
                <w:rFonts w:hint="eastAsia" w:ascii="宋体" w:hAnsi="宋体"/>
                <w:color w:val="FF0000"/>
                <w:szCs w:val="21"/>
              </w:rPr>
              <w:t>能熟悉中国传统文化，传统文化的传承与创新</w:t>
            </w:r>
          </w:p>
        </w:tc>
        <w:tc>
          <w:tcPr>
            <w:tcW w:w="1559" w:type="dxa"/>
          </w:tcPr>
          <w:p>
            <w:pPr>
              <w:jc w:val="left"/>
              <w:rPr>
                <w:rFonts w:ascii="宋体" w:hAnsi="宋体"/>
                <w:color w:val="FF0000"/>
                <w:szCs w:val="21"/>
              </w:rPr>
            </w:pPr>
            <w:r>
              <w:rPr>
                <w:rFonts w:ascii="宋体" w:hAnsi="宋体"/>
                <w:color w:val="FF0000"/>
                <w:szCs w:val="21"/>
              </w:rPr>
              <w:t>1</w:t>
            </w:r>
            <w:r>
              <w:rPr>
                <w:rFonts w:hint="eastAsia" w:ascii="宋体" w:hAnsi="宋体"/>
                <w:color w:val="FF0000"/>
                <w:szCs w:val="21"/>
              </w:rPr>
              <w:t>-</w:t>
            </w:r>
            <w:r>
              <w:rPr>
                <w:rFonts w:ascii="宋体" w:hAnsi="宋体"/>
                <w:color w:val="FF0000"/>
                <w:szCs w:val="21"/>
              </w:rPr>
              <w:t>3</w:t>
            </w:r>
            <w:r>
              <w:rPr>
                <w:rFonts w:hint="eastAsia" w:ascii="宋体" w:hAnsi="宋体"/>
                <w:color w:val="FF0000"/>
                <w:szCs w:val="21"/>
              </w:rPr>
              <w:t>-</w:t>
            </w:r>
            <w:r>
              <w:rPr>
                <w:rFonts w:ascii="宋体" w:hAnsi="宋体"/>
                <w:color w:val="FF0000"/>
                <w:szCs w:val="21"/>
              </w:rPr>
              <w:t>2</w:t>
            </w:r>
            <w:r>
              <w:rPr>
                <w:rFonts w:hint="eastAsia" w:ascii="宋体" w:hAnsi="宋体"/>
                <w:color w:val="FF0000"/>
                <w:szCs w:val="21"/>
              </w:rPr>
              <w:t>结合软解进行传统文化中场景的设计与制作</w:t>
            </w:r>
          </w:p>
        </w:tc>
        <w:tc>
          <w:tcPr>
            <w:tcW w:w="877" w:type="dxa"/>
            <w:vMerge w:val="continue"/>
          </w:tcPr>
          <w:p>
            <w:pPr>
              <w:jc w:val="left"/>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34" w:type="dxa"/>
            <w:vMerge w:val="restart"/>
          </w:tcPr>
          <w:p>
            <w:pPr>
              <w:jc w:val="left"/>
              <w:rPr>
                <w:rFonts w:ascii="宋体" w:hAnsi="宋体"/>
                <w:szCs w:val="21"/>
              </w:rPr>
            </w:pPr>
            <w:r>
              <w:rPr>
                <w:rFonts w:hint="eastAsia" w:ascii="宋体" w:hAnsi="宋体"/>
                <w:b/>
                <w:bCs/>
                <w:szCs w:val="21"/>
              </w:rPr>
              <w:t>2</w:t>
            </w:r>
          </w:p>
        </w:tc>
        <w:tc>
          <w:tcPr>
            <w:tcW w:w="711" w:type="dxa"/>
            <w:vMerge w:val="restart"/>
          </w:tcPr>
          <w:p>
            <w:pPr>
              <w:jc w:val="left"/>
              <w:rPr>
                <w:rFonts w:ascii="宋体" w:hAnsi="宋体"/>
                <w:szCs w:val="21"/>
              </w:rPr>
            </w:pPr>
            <w:r>
              <w:rPr>
                <w:rFonts w:hint="eastAsia" w:ascii="宋体" w:hAnsi="宋体"/>
                <w:szCs w:val="21"/>
              </w:rPr>
              <w:t>企业新媒体项目的策划与执行</w:t>
            </w:r>
          </w:p>
        </w:tc>
        <w:tc>
          <w:tcPr>
            <w:tcW w:w="993" w:type="dxa"/>
            <w:vMerge w:val="restart"/>
          </w:tcPr>
          <w:p>
            <w:pPr>
              <w:jc w:val="left"/>
              <w:rPr>
                <w:rFonts w:ascii="宋体" w:hAnsi="宋体"/>
                <w:szCs w:val="21"/>
              </w:rPr>
            </w:pPr>
            <w:r>
              <w:rPr>
                <w:rFonts w:hint="eastAsia" w:ascii="宋体" w:hAnsi="宋体"/>
                <w:szCs w:val="21"/>
              </w:rPr>
              <w:t>企业新媒体策划案</w:t>
            </w:r>
          </w:p>
          <w:p>
            <w:pPr>
              <w:jc w:val="left"/>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课时）</w:t>
            </w:r>
          </w:p>
        </w:tc>
        <w:tc>
          <w:tcPr>
            <w:tcW w:w="1866" w:type="dxa"/>
            <w:vMerge w:val="restart"/>
          </w:tcPr>
          <w:p>
            <w:pPr>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根据企业的要求编制能够执行的新媒体策划案</w:t>
            </w:r>
          </w:p>
          <w:p>
            <w:pPr>
              <w:jc w:val="left"/>
              <w:rPr>
                <w:rFonts w:ascii="宋体" w:hAnsi="宋体"/>
                <w:szCs w:val="21"/>
              </w:rPr>
            </w:pPr>
            <w:r>
              <w:rPr>
                <w:rFonts w:hint="eastAsia" w:ascii="宋体" w:hAnsi="宋体"/>
                <w:szCs w:val="21"/>
              </w:rPr>
              <w:t>（理论</w:t>
            </w:r>
            <w:r>
              <w:rPr>
                <w:rFonts w:ascii="宋体" w:hAnsi="宋体"/>
                <w:szCs w:val="21"/>
              </w:rPr>
              <w:t>4</w:t>
            </w:r>
            <w:r>
              <w:rPr>
                <w:rFonts w:hint="eastAsia" w:ascii="宋体" w:hAnsi="宋体"/>
                <w:szCs w:val="21"/>
              </w:rPr>
              <w:t>课时）</w:t>
            </w:r>
          </w:p>
          <w:p>
            <w:pPr>
              <w:jc w:val="left"/>
              <w:rPr>
                <w:rFonts w:ascii="宋体" w:hAnsi="宋体"/>
                <w:szCs w:val="21"/>
              </w:rPr>
            </w:pPr>
            <w:r>
              <w:rPr>
                <w:rFonts w:hint="eastAsia" w:ascii="宋体" w:hAnsi="宋体"/>
                <w:szCs w:val="21"/>
              </w:rPr>
              <w:t>（实践</w:t>
            </w:r>
            <w:r>
              <w:rPr>
                <w:rFonts w:ascii="宋体" w:hAnsi="宋体"/>
                <w:szCs w:val="21"/>
              </w:rPr>
              <w:t>4</w:t>
            </w:r>
            <w:r>
              <w:rPr>
                <w:rFonts w:hint="eastAsia" w:ascii="宋体" w:hAnsi="宋体"/>
                <w:szCs w:val="21"/>
              </w:rPr>
              <w:t>课时）</w:t>
            </w:r>
          </w:p>
          <w:p>
            <w:pPr>
              <w:jc w:val="left"/>
              <w:rPr>
                <w:rFonts w:ascii="宋体" w:hAnsi="宋体"/>
                <w:szCs w:val="21"/>
              </w:rPr>
            </w:pPr>
          </w:p>
        </w:tc>
        <w:tc>
          <w:tcPr>
            <w:tcW w:w="1819" w:type="dxa"/>
          </w:tcPr>
          <w:p>
            <w:pPr>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w:t>
            </w:r>
            <w:r>
              <w:rPr>
                <w:rFonts w:ascii="宋体" w:hAnsi="宋体"/>
                <w:szCs w:val="21"/>
              </w:rPr>
              <w:t>1</w:t>
            </w:r>
            <w:r>
              <w:rPr>
                <w:rFonts w:hint="eastAsia" w:ascii="宋体" w:hAnsi="宋体"/>
                <w:szCs w:val="21"/>
              </w:rPr>
              <w:t>企业品牌内涵的要素解读能力</w:t>
            </w:r>
          </w:p>
          <w:p>
            <w:pPr>
              <w:jc w:val="left"/>
              <w:rPr>
                <w:rFonts w:ascii="宋体" w:hAnsi="宋体"/>
                <w:szCs w:val="21"/>
              </w:rPr>
            </w:pPr>
          </w:p>
        </w:tc>
        <w:tc>
          <w:tcPr>
            <w:tcW w:w="1559" w:type="dxa"/>
          </w:tcPr>
          <w:p>
            <w:pPr>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w:t>
            </w:r>
            <w:r>
              <w:rPr>
                <w:rFonts w:ascii="宋体" w:hAnsi="宋体"/>
                <w:szCs w:val="21"/>
              </w:rPr>
              <w:t>1</w:t>
            </w:r>
            <w:r>
              <w:rPr>
                <w:rFonts w:hint="eastAsia" w:ascii="宋体" w:hAnsi="宋体"/>
                <w:szCs w:val="21"/>
              </w:rPr>
              <w:t>品牌分析的基本知识与方法</w:t>
            </w:r>
          </w:p>
        </w:tc>
        <w:tc>
          <w:tcPr>
            <w:tcW w:w="877" w:type="dxa"/>
            <w:vMerge w:val="restart"/>
          </w:tcPr>
          <w:p>
            <w:pPr>
              <w:jc w:val="left"/>
              <w:rPr>
                <w:rFonts w:ascii="宋体" w:hAnsi="宋体"/>
                <w:szCs w:val="21"/>
              </w:rPr>
            </w:pPr>
            <w:r>
              <w:rPr>
                <w:rFonts w:hint="eastAsia" w:ascii="宋体" w:hAnsi="宋体"/>
                <w:szCs w:val="21"/>
              </w:rPr>
              <w:t>企业新媒体策划案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534" w:type="dxa"/>
            <w:vMerge w:val="continue"/>
          </w:tcPr>
          <w:p>
            <w:pPr>
              <w:jc w:val="left"/>
              <w:rPr>
                <w:rFonts w:ascii="宋体" w:hAnsi="宋体"/>
                <w:b/>
                <w:bCs/>
                <w:szCs w:val="21"/>
              </w:rPr>
            </w:pPr>
          </w:p>
        </w:tc>
        <w:tc>
          <w:tcPr>
            <w:tcW w:w="711" w:type="dxa"/>
            <w:vMerge w:val="continue"/>
          </w:tcPr>
          <w:p>
            <w:pPr>
              <w:jc w:val="left"/>
              <w:rPr>
                <w:rFonts w:ascii="宋体" w:hAnsi="宋体"/>
                <w:szCs w:val="21"/>
              </w:rPr>
            </w:pPr>
          </w:p>
        </w:tc>
        <w:tc>
          <w:tcPr>
            <w:tcW w:w="993" w:type="dxa"/>
            <w:vMerge w:val="continue"/>
          </w:tcPr>
          <w:p>
            <w:pPr>
              <w:jc w:val="left"/>
              <w:rPr>
                <w:rFonts w:ascii="宋体" w:hAnsi="宋体"/>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能对企业进行新媒体策划案的提案</w:t>
            </w:r>
          </w:p>
        </w:tc>
        <w:tc>
          <w:tcPr>
            <w:tcW w:w="1559" w:type="dxa"/>
          </w:tcPr>
          <w:p>
            <w:pPr>
              <w:jc w:val="left"/>
              <w:rPr>
                <w:rFonts w:ascii="宋体" w:hAnsi="宋体"/>
                <w:szCs w:val="21"/>
              </w:rPr>
            </w:pPr>
            <w:r>
              <w:rPr>
                <w:rFonts w:hint="eastAsia" w:ascii="宋体" w:hAnsi="宋体"/>
                <w:szCs w:val="21"/>
              </w:rPr>
              <w:t>2-</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调研、分析、策划等相关知识</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restart"/>
          </w:tcPr>
          <w:p>
            <w:pPr>
              <w:jc w:val="left"/>
              <w:rPr>
                <w:rFonts w:ascii="宋体" w:hAnsi="宋体"/>
                <w:szCs w:val="21"/>
              </w:rPr>
            </w:pPr>
            <w:r>
              <w:rPr>
                <w:rFonts w:hint="eastAsia" w:ascii="宋体" w:hAnsi="宋体"/>
                <w:szCs w:val="21"/>
              </w:rPr>
              <w:t>企业新媒体音频的设计与制作（</w:t>
            </w:r>
            <w:r>
              <w:rPr>
                <w:rFonts w:ascii="宋体" w:hAnsi="宋体"/>
                <w:szCs w:val="21"/>
              </w:rPr>
              <w:t>4</w:t>
            </w:r>
            <w:r>
              <w:rPr>
                <w:rFonts w:hint="eastAsia" w:ascii="宋体" w:hAnsi="宋体"/>
                <w:szCs w:val="21"/>
              </w:rPr>
              <w:t>课时）</w:t>
            </w:r>
          </w:p>
        </w:tc>
        <w:tc>
          <w:tcPr>
            <w:tcW w:w="1866" w:type="dxa"/>
            <w:vMerge w:val="restart"/>
          </w:tcPr>
          <w:p>
            <w:pPr>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以企业案例要素展开音频的设计与制作</w:t>
            </w:r>
          </w:p>
          <w:p>
            <w:pPr>
              <w:jc w:val="left"/>
              <w:rPr>
                <w:rFonts w:ascii="宋体" w:hAnsi="宋体"/>
                <w:szCs w:val="21"/>
              </w:rPr>
            </w:pPr>
            <w:r>
              <w:rPr>
                <w:rFonts w:hint="eastAsia" w:ascii="宋体" w:hAnsi="宋体"/>
                <w:szCs w:val="21"/>
              </w:rPr>
              <w:t>（理论2课时）</w:t>
            </w:r>
          </w:p>
          <w:p>
            <w:pPr>
              <w:jc w:val="left"/>
              <w:rPr>
                <w:rFonts w:ascii="宋体" w:hAnsi="宋体"/>
                <w:szCs w:val="21"/>
              </w:rPr>
            </w:pPr>
            <w:r>
              <w:rPr>
                <w:rFonts w:hint="eastAsia" w:ascii="宋体" w:hAnsi="宋体"/>
                <w:szCs w:val="21"/>
              </w:rPr>
              <w:t>（实践2课时）</w:t>
            </w:r>
          </w:p>
        </w:tc>
        <w:tc>
          <w:tcPr>
            <w:tcW w:w="1819" w:type="dxa"/>
          </w:tcPr>
          <w:p>
            <w:pPr>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能掌握音频的制作方法</w:t>
            </w:r>
          </w:p>
        </w:tc>
        <w:tc>
          <w:tcPr>
            <w:tcW w:w="1559" w:type="dxa"/>
          </w:tcPr>
          <w:p>
            <w:pPr>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音频的采集技巧以及音频软件的制作技巧</w:t>
            </w:r>
          </w:p>
        </w:tc>
        <w:tc>
          <w:tcPr>
            <w:tcW w:w="877" w:type="dxa"/>
            <w:vMerge w:val="restart"/>
          </w:tcPr>
          <w:p>
            <w:pPr>
              <w:jc w:val="left"/>
              <w:rPr>
                <w:rFonts w:ascii="宋体" w:hAnsi="宋体"/>
                <w:szCs w:val="21"/>
              </w:rPr>
            </w:pPr>
            <w:r>
              <w:rPr>
                <w:rFonts w:hint="eastAsia" w:ascii="宋体" w:hAnsi="宋体"/>
                <w:szCs w:val="21"/>
              </w:rPr>
              <w:t>企业新媒体内容制作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jc w:val="left"/>
              <w:rPr>
                <w:rFonts w:ascii="宋体" w:hAnsi="宋体"/>
                <w:szCs w:val="21"/>
              </w:rPr>
            </w:pPr>
          </w:p>
        </w:tc>
        <w:tc>
          <w:tcPr>
            <w:tcW w:w="1866" w:type="dxa"/>
            <w:vMerge w:val="continue"/>
          </w:tcPr>
          <w:p>
            <w:pPr>
              <w:jc w:val="left"/>
              <w:rPr>
                <w:rFonts w:ascii="宋体" w:hAnsi="宋体"/>
                <w:szCs w:val="21"/>
              </w:rPr>
            </w:pPr>
          </w:p>
        </w:tc>
        <w:tc>
          <w:tcPr>
            <w:tcW w:w="1819" w:type="dxa"/>
          </w:tcPr>
          <w:p>
            <w:pPr>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能进行画面的要素分析，并提炼音频的主要内容构成点</w:t>
            </w:r>
          </w:p>
        </w:tc>
        <w:tc>
          <w:tcPr>
            <w:tcW w:w="1559" w:type="dxa"/>
          </w:tcPr>
          <w:p>
            <w:pPr>
              <w:jc w:val="left"/>
              <w:rPr>
                <w:rFonts w:ascii="宋体" w:hAnsi="宋体"/>
                <w:szCs w:val="21"/>
              </w:rPr>
            </w:pPr>
            <w:r>
              <w:rPr>
                <w:rFonts w:hint="eastAsia" w:ascii="宋体" w:hAnsi="宋体"/>
                <w:szCs w:val="21"/>
              </w:rPr>
              <w:t>2-</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画面作品的历史背景及当时的政治、商业形态</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restart"/>
          </w:tcPr>
          <w:p>
            <w:pPr>
              <w:jc w:val="left"/>
              <w:rPr>
                <w:rFonts w:ascii="宋体" w:hAnsi="宋体"/>
                <w:szCs w:val="21"/>
              </w:rPr>
            </w:pPr>
            <w:r>
              <w:rPr>
                <w:rFonts w:hint="eastAsia" w:ascii="宋体" w:hAnsi="宋体"/>
                <w:szCs w:val="21"/>
              </w:rPr>
              <w:t>企业新媒体视频的设计与制作（8课时）</w:t>
            </w:r>
          </w:p>
        </w:tc>
        <w:tc>
          <w:tcPr>
            <w:tcW w:w="1866" w:type="dxa"/>
            <w:vMerge w:val="restart"/>
          </w:tcPr>
          <w:p>
            <w:pPr>
              <w:rPr>
                <w:rFonts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3</w:t>
            </w:r>
            <w:r>
              <w:rPr>
                <w:rFonts w:hint="eastAsia" w:ascii="宋体" w:hAnsi="宋体"/>
                <w:szCs w:val="21"/>
              </w:rPr>
              <w:t>以企业案例要素展开视频的设计与制作</w:t>
            </w:r>
          </w:p>
          <w:p>
            <w:pPr>
              <w:rPr>
                <w:rFonts w:ascii="宋体" w:hAnsi="宋体"/>
                <w:szCs w:val="21"/>
              </w:rPr>
            </w:pPr>
            <w:r>
              <w:rPr>
                <w:rFonts w:hint="eastAsia" w:ascii="宋体" w:hAnsi="宋体"/>
                <w:szCs w:val="21"/>
              </w:rPr>
              <w:t>（理论4课时）</w:t>
            </w:r>
          </w:p>
          <w:p>
            <w:pPr>
              <w:rPr>
                <w:rFonts w:ascii="宋体" w:hAnsi="宋体"/>
                <w:szCs w:val="21"/>
              </w:rPr>
            </w:pPr>
            <w:r>
              <w:rPr>
                <w:rFonts w:hint="eastAsia" w:ascii="宋体" w:hAnsi="宋体"/>
                <w:szCs w:val="21"/>
              </w:rPr>
              <w:t>（实践4课时）</w:t>
            </w:r>
          </w:p>
          <w:p>
            <w:pPr>
              <w:jc w:val="left"/>
              <w:rPr>
                <w:rFonts w:ascii="宋体" w:hAnsi="宋体"/>
                <w:b/>
                <w:bCs/>
                <w:szCs w:val="21"/>
              </w:rPr>
            </w:pPr>
          </w:p>
        </w:tc>
        <w:tc>
          <w:tcPr>
            <w:tcW w:w="1819" w:type="dxa"/>
          </w:tcPr>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-1重构故事形态的文本设计能力</w:t>
            </w:r>
          </w:p>
          <w:p>
            <w:pPr>
              <w:rPr>
                <w:rFonts w:ascii="宋体" w:hAnsi="宋体"/>
                <w:szCs w:val="21"/>
              </w:rPr>
            </w:pPr>
          </w:p>
        </w:tc>
        <w:tc>
          <w:tcPr>
            <w:tcW w:w="1559" w:type="dxa"/>
          </w:tcPr>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-1故事形态与结构的文案设计</w:t>
            </w:r>
          </w:p>
        </w:tc>
        <w:tc>
          <w:tcPr>
            <w:tcW w:w="877" w:type="dxa"/>
            <w:vMerge w:val="continue"/>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34" w:type="dxa"/>
            <w:vMerge w:val="continue"/>
          </w:tcPr>
          <w:p>
            <w:pPr>
              <w:jc w:val="left"/>
              <w:rPr>
                <w:rFonts w:ascii="宋体" w:hAnsi="宋体"/>
                <w:szCs w:val="21"/>
              </w:rPr>
            </w:pPr>
          </w:p>
        </w:tc>
        <w:tc>
          <w:tcPr>
            <w:tcW w:w="711" w:type="dxa"/>
            <w:vMerge w:val="continue"/>
          </w:tcPr>
          <w:p>
            <w:pPr>
              <w:jc w:val="left"/>
              <w:rPr>
                <w:rFonts w:ascii="宋体" w:hAnsi="宋体"/>
                <w:szCs w:val="21"/>
              </w:rPr>
            </w:pPr>
          </w:p>
        </w:tc>
        <w:tc>
          <w:tcPr>
            <w:tcW w:w="993" w:type="dxa"/>
            <w:vMerge w:val="continue"/>
          </w:tcPr>
          <w:p>
            <w:pPr>
              <w:jc w:val="left"/>
              <w:rPr>
                <w:rFonts w:ascii="宋体" w:hAnsi="宋体"/>
                <w:szCs w:val="21"/>
              </w:rPr>
            </w:pPr>
          </w:p>
        </w:tc>
        <w:tc>
          <w:tcPr>
            <w:tcW w:w="1866" w:type="dxa"/>
            <w:vMerge w:val="continue"/>
          </w:tcPr>
          <w:p>
            <w:pPr>
              <w:rPr>
                <w:rFonts w:ascii="宋体" w:hAnsi="宋体"/>
                <w:color w:val="000000"/>
                <w:szCs w:val="21"/>
              </w:rPr>
            </w:pPr>
          </w:p>
        </w:tc>
        <w:tc>
          <w:tcPr>
            <w:tcW w:w="1819" w:type="dxa"/>
          </w:tcPr>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-2品牌故事短视频视觉表现的设计与制作能力</w:t>
            </w:r>
          </w:p>
        </w:tc>
        <w:tc>
          <w:tcPr>
            <w:tcW w:w="1559" w:type="dxa"/>
          </w:tcPr>
          <w:p>
            <w:pPr>
              <w:rPr>
                <w:rFonts w:ascii="宋体" w:hAnsi="宋体"/>
                <w:szCs w:val="21"/>
              </w:rPr>
            </w:pPr>
            <w:r>
              <w:rPr>
                <w:rFonts w:ascii="宋体" w:hAnsi="宋体"/>
                <w:szCs w:val="21"/>
              </w:rPr>
              <w:t>2</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2</w:t>
            </w:r>
            <w:r>
              <w:rPr>
                <w:rFonts w:hint="eastAsia" w:ascii="宋体" w:hAnsi="宋体"/>
                <w:szCs w:val="21"/>
              </w:rPr>
              <w:t>拍摄技巧与后期制作</w:t>
            </w:r>
          </w:p>
        </w:tc>
        <w:tc>
          <w:tcPr>
            <w:tcW w:w="877" w:type="dxa"/>
            <w:vMerge w:val="continue"/>
          </w:tcPr>
          <w:p>
            <w:pPr>
              <w:jc w:val="left"/>
              <w:rPr>
                <w:rFonts w:ascii="宋体" w:hAnsi="宋体"/>
                <w:szCs w:val="21"/>
              </w:rPr>
            </w:pPr>
          </w:p>
        </w:tc>
      </w:tr>
    </w:tbl>
    <w:p>
      <w:pPr>
        <w:jc w:val="left"/>
        <w:rPr>
          <w:rFonts w:ascii="宋体" w:hAnsi="宋体"/>
          <w:szCs w:val="21"/>
        </w:rPr>
      </w:pPr>
      <w:r>
        <w:rPr>
          <w:rFonts w:ascii="宋体" w:hAnsi="宋体"/>
          <w:szCs w:val="21"/>
        </w:rPr>
        <w:br w:type="page"/>
      </w:r>
    </w:p>
    <w:p>
      <w:pPr>
        <w:pStyle w:val="3"/>
      </w:pPr>
      <w:r>
        <w:rPr>
          <w:rFonts w:hint="eastAsia"/>
        </w:rPr>
        <w:t>七、课内实验名称及基本要求</w:t>
      </w:r>
    </w:p>
    <w:p>
      <w:pPr>
        <w:ind w:firstLine="420" w:firstLineChars="200"/>
      </w:pPr>
      <w:r>
        <w:rPr>
          <w:rFonts w:hint="eastAsia"/>
        </w:rPr>
        <w:t>列出课程实验的名称、学时数、实验类型（演示型、验证型、设计型、综合型）及每个实验的内容简述。</w:t>
      </w:r>
    </w:p>
    <w:tbl>
      <w:tblPr>
        <w:tblStyle w:val="6"/>
        <w:tblW w:w="82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实验类型</w:t>
            </w:r>
          </w:p>
        </w:tc>
        <w:tc>
          <w:tcPr>
            <w:tcW w:w="894"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C</w:t>
            </w:r>
            <w:r>
              <w:rPr>
                <w:rFonts w:ascii="宋体" w:hAnsi="宋体"/>
                <w:sz w:val="16"/>
                <w:szCs w:val="16"/>
              </w:rPr>
              <w:t>4D</w:t>
            </w:r>
            <w:r>
              <w:rPr>
                <w:rFonts w:hint="eastAsia" w:ascii="宋体" w:hAnsi="宋体"/>
                <w:sz w:val="16"/>
                <w:szCs w:val="16"/>
              </w:rPr>
              <w:t>制作</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根据所选定的主题进行模型设计</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20</w:t>
            </w:r>
          </w:p>
        </w:tc>
        <w:tc>
          <w:tcPr>
            <w:tcW w:w="1057"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综合</w:t>
            </w:r>
          </w:p>
        </w:tc>
        <w:tc>
          <w:tcPr>
            <w:tcW w:w="894"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新媒体策划</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企业的新媒体策划案</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4</w:t>
            </w:r>
          </w:p>
        </w:tc>
        <w:tc>
          <w:tcPr>
            <w:tcW w:w="1057"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综合</w:t>
            </w:r>
          </w:p>
        </w:tc>
        <w:tc>
          <w:tcPr>
            <w:tcW w:w="894"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新媒体内容制作</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根据策划案制作新媒体内容</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8</w:t>
            </w:r>
          </w:p>
        </w:tc>
        <w:tc>
          <w:tcPr>
            <w:tcW w:w="1057"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r>
              <w:rPr>
                <w:rFonts w:hint="eastAsia" w:ascii="宋体" w:hAnsi="宋体"/>
                <w:sz w:val="16"/>
                <w:szCs w:val="16"/>
              </w:rPr>
              <w:t>综合</w:t>
            </w:r>
          </w:p>
        </w:tc>
        <w:tc>
          <w:tcPr>
            <w:tcW w:w="894" w:type="dxa"/>
            <w:tcBorders>
              <w:left w:val="single" w:color="auto" w:sz="4" w:space="0"/>
              <w:right w:val="single" w:color="auto" w:sz="4" w:space="0"/>
            </w:tcBorders>
            <w:vAlign w:val="center"/>
          </w:tcPr>
          <w:p>
            <w:pPr>
              <w:snapToGrid w:val="0"/>
              <w:spacing w:before="156" w:beforeLines="50" w:after="156" w:afterLines="50"/>
              <w:jc w:val="center"/>
              <w:rPr>
                <w:rFonts w:ascii="宋体" w:hAnsi="宋体"/>
                <w:sz w:val="16"/>
                <w:szCs w:val="16"/>
              </w:rPr>
            </w:pPr>
          </w:p>
        </w:tc>
      </w:tr>
    </w:tbl>
    <w:p>
      <w:pPr>
        <w:pStyle w:val="3"/>
      </w:pPr>
      <w:r>
        <w:rPr>
          <w:rFonts w:hint="eastAsia"/>
        </w:rPr>
        <w:t>八、评价方式与成绩</w:t>
      </w:r>
    </w:p>
    <w:p>
      <w:pPr>
        <w:ind w:firstLine="420" w:firstLineChars="200"/>
      </w:pPr>
      <w:r>
        <w:rPr>
          <w:rFonts w:hint="eastAsia"/>
        </w:rPr>
        <w:t>“</w:t>
      </w:r>
      <w:r>
        <w:t>1</w:t>
      </w:r>
      <w:r>
        <w:rPr>
          <w:rFonts w:hint="eastAsia"/>
        </w:rPr>
        <w:t>”一般为总结性评价, “</w:t>
      </w:r>
      <w:r>
        <w:t>X</w:t>
      </w:r>
      <w:r>
        <w:rPr>
          <w:rFonts w:hint="eastAsia"/>
        </w:rPr>
        <w:t>”为过程性评价，“</w:t>
      </w:r>
      <w:r>
        <w:t>X</w:t>
      </w:r>
      <w:r>
        <w:rPr>
          <w:rFonts w:hint="eastAsia"/>
        </w:rPr>
        <w:t>”的</w:t>
      </w:r>
      <w:r>
        <w:rPr>
          <w:rFonts w:hint="eastAsia"/>
          <w:color w:val="000000"/>
        </w:rPr>
        <w:t>次数一般不少于3次，无论是</w:t>
      </w:r>
      <w:r>
        <w:rPr>
          <w:rFonts w:hint="eastAsia"/>
        </w:rPr>
        <w:t>“</w:t>
      </w:r>
      <w:r>
        <w:t>1</w:t>
      </w:r>
      <w:r>
        <w:rPr>
          <w:rFonts w:hint="eastAsia"/>
        </w:rPr>
        <w:t>”、还是“</w:t>
      </w:r>
      <w:r>
        <w:t>X</w:t>
      </w:r>
      <w:r>
        <w:rPr>
          <w:rFonts w:hint="eastAsia"/>
        </w:rPr>
        <w:t>”，都可以是纸笔测试，也可以是表现性评价。与能力本位相适应的课程评价方式，较少采用纸笔测试，较多采用表现性评价。</w:t>
      </w:r>
    </w:p>
    <w:p>
      <w:pPr>
        <w:ind w:firstLine="420" w:firstLineChars="200"/>
      </w:pPr>
      <w:r>
        <w:rPr>
          <w:rFonts w:hint="eastAsia"/>
          <w:color w:val="000000"/>
        </w:rPr>
        <w:t>常用</w:t>
      </w:r>
      <w:r>
        <w:rPr>
          <w:color w:val="000000"/>
        </w:rPr>
        <w:t>的</w:t>
      </w:r>
      <w:r>
        <w:rPr>
          <w:rFonts w:hint="eastAsia"/>
          <w:color w:val="000000"/>
        </w:rPr>
        <w:t>评价</w:t>
      </w:r>
      <w:r>
        <w:rPr>
          <w:color w:val="000000"/>
        </w:rPr>
        <w:t>方式</w:t>
      </w:r>
      <w:r>
        <w:rPr>
          <w:rFonts w:hint="eastAsia"/>
          <w:color w:val="000000"/>
        </w:rPr>
        <w:t>有</w:t>
      </w:r>
      <w:r>
        <w:rPr>
          <w:color w:val="000000"/>
        </w:rPr>
        <w:t>：</w:t>
      </w:r>
      <w:r>
        <w:rPr>
          <w:rFonts w:hint="eastAsia"/>
        </w:rPr>
        <w:t>课堂展示、口头</w:t>
      </w:r>
      <w:r>
        <w:t>报告、</w:t>
      </w:r>
      <w:r>
        <w:rPr>
          <w:rFonts w:hint="eastAsia"/>
        </w:rPr>
        <w:t>论文、日志、反思</w:t>
      </w:r>
      <w:r>
        <w:t>、</w:t>
      </w:r>
      <w:r>
        <w:rPr>
          <w:rFonts w:hint="eastAsia"/>
        </w:rPr>
        <w:t>调查报告、个人项目报告、小组</w:t>
      </w:r>
      <w:r>
        <w:t>项目报告、</w:t>
      </w:r>
      <w:r>
        <w:rPr>
          <w:rFonts w:hint="eastAsia"/>
        </w:rPr>
        <w:t>实验报告、读书报告、作品（选集</w:t>
      </w:r>
      <w:r>
        <w:t>）</w:t>
      </w:r>
      <w:r>
        <w:rPr>
          <w:rFonts w:hint="eastAsia"/>
        </w:rPr>
        <w:t>、口试、课堂小测验、</w:t>
      </w:r>
      <w:r>
        <w:t>期终闭卷考、期终开卷考、</w:t>
      </w:r>
      <w:r>
        <w:rPr>
          <w:rFonts w:hint="eastAsia"/>
        </w:rPr>
        <w:t>工作</w:t>
      </w:r>
      <w:r>
        <w:t>现场评估、</w:t>
      </w:r>
      <w:r>
        <w:rPr>
          <w:rFonts w:hint="eastAsia"/>
        </w:rPr>
        <w:t>自我</w:t>
      </w:r>
      <w:r>
        <w:t>评估、</w:t>
      </w:r>
      <w:r>
        <w:rPr>
          <w:rFonts w:hint="eastAsia"/>
        </w:rPr>
        <w:t>同辈</w:t>
      </w:r>
      <w:r>
        <w:t>评估</w:t>
      </w:r>
      <w:r>
        <w:rPr>
          <w:rFonts w:hint="eastAsia"/>
        </w:rPr>
        <w:t>等等</w:t>
      </w:r>
      <w:r>
        <w:t>。</w:t>
      </w:r>
      <w:r>
        <w:rPr>
          <w:rFonts w:hint="eastAsia"/>
        </w:rPr>
        <w:t>一般课外扩展阅读的检查评价应该成为“X”中的一部分。</w:t>
      </w:r>
    </w:p>
    <w:p>
      <w:pPr>
        <w:ind w:firstLine="420" w:firstLineChars="200"/>
      </w:pPr>
      <w:r>
        <w:rPr>
          <w:rFonts w:hint="eastAsia"/>
        </w:rPr>
        <w:t>同一门课程由多个教师共同授课的，由课程组共同讨论决定X的内容、次数及比例。</w:t>
      </w:r>
    </w:p>
    <w:tbl>
      <w:tblPr>
        <w:tblStyle w:val="6"/>
        <w:tblpPr w:leftFromText="180" w:rightFromText="180" w:vertAnchor="text" w:horzAnchor="margin" w:tblpY="25"/>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44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tcPr>
          <w:p>
            <w:pPr>
              <w:snapToGrid w:val="0"/>
              <w:spacing w:before="156" w:beforeLines="50" w:after="156" w:afterLines="50"/>
              <w:jc w:val="center"/>
              <w:rPr>
                <w:rFonts w:ascii="宋体" w:hAnsi="宋体"/>
                <w:bCs/>
                <w:color w:val="000000"/>
                <w:szCs w:val="20"/>
              </w:rPr>
            </w:pPr>
            <w:r>
              <w:rPr>
                <w:rFonts w:hint="eastAsia"/>
              </w:rPr>
              <w:t>C</w:t>
            </w:r>
            <w:r>
              <w:t>4D</w:t>
            </w:r>
            <w:r>
              <w:rPr>
                <w:rFonts w:hint="eastAsia"/>
              </w:rPr>
              <w:t>项目制作</w:t>
            </w:r>
          </w:p>
        </w:tc>
        <w:tc>
          <w:tcPr>
            <w:tcW w:w="144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新媒体策划案</w:t>
            </w:r>
          </w:p>
        </w:tc>
        <w:tc>
          <w:tcPr>
            <w:tcW w:w="144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 xml:space="preserve"> 新媒体执行及内容传播</w:t>
            </w:r>
          </w:p>
        </w:tc>
        <w:tc>
          <w:tcPr>
            <w:tcW w:w="144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30%</w:t>
            </w:r>
          </w:p>
        </w:tc>
      </w:tr>
    </w:tbl>
    <w:p/>
    <w:p>
      <w:bookmarkStart w:id="1" w:name="_GoBack"/>
      <w:r>
        <w:drawing>
          <wp:anchor distT="0" distB="0" distL="114300" distR="114300" simplePos="0" relativeHeight="251660288" behindDoc="0" locked="0" layoutInCell="1" allowOverlap="1">
            <wp:simplePos x="0" y="0"/>
            <wp:positionH relativeFrom="column">
              <wp:posOffset>4716780</wp:posOffset>
            </wp:positionH>
            <wp:positionV relativeFrom="paragraph">
              <wp:posOffset>26035</wp:posOffset>
            </wp:positionV>
            <wp:extent cx="489585" cy="438150"/>
            <wp:effectExtent l="0" t="0" r="571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9585" cy="438150"/>
                    </a:xfrm>
                    <a:prstGeom prst="rect">
                      <a:avLst/>
                    </a:prstGeom>
                  </pic:spPr>
                </pic:pic>
              </a:graphicData>
            </a:graphic>
          </wp:anchor>
        </w:drawing>
      </w:r>
      <w:bookmarkEnd w:id="1"/>
    </w:p>
    <w:p>
      <w:r>
        <w:rPr>
          <w:rFonts w:hint="eastAsia"/>
        </w:rPr>
        <w:t xml:space="preserve">撰写： 刘晓                             </w:t>
      </w:r>
      <w:r>
        <w:t xml:space="preserve">     </w:t>
      </w:r>
      <w:r>
        <w:rPr>
          <w:rFonts w:hint="eastAsia"/>
        </w:rPr>
        <w:t xml:space="preserve">          系主任审核：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AC"/>
    <w:rsid w:val="00020275"/>
    <w:rsid w:val="000855F1"/>
    <w:rsid w:val="00096BF6"/>
    <w:rsid w:val="000C1686"/>
    <w:rsid w:val="001C1577"/>
    <w:rsid w:val="001E5582"/>
    <w:rsid w:val="002263D5"/>
    <w:rsid w:val="0028360C"/>
    <w:rsid w:val="00292FB7"/>
    <w:rsid w:val="002F461D"/>
    <w:rsid w:val="003A3429"/>
    <w:rsid w:val="003E52A9"/>
    <w:rsid w:val="003F086F"/>
    <w:rsid w:val="00405C1B"/>
    <w:rsid w:val="00423C6B"/>
    <w:rsid w:val="0043426C"/>
    <w:rsid w:val="00505403"/>
    <w:rsid w:val="00507036"/>
    <w:rsid w:val="00522BC8"/>
    <w:rsid w:val="005B65AE"/>
    <w:rsid w:val="005D4FEC"/>
    <w:rsid w:val="00604675"/>
    <w:rsid w:val="00606DB6"/>
    <w:rsid w:val="00627F45"/>
    <w:rsid w:val="0067170E"/>
    <w:rsid w:val="006A09A9"/>
    <w:rsid w:val="006A0EC1"/>
    <w:rsid w:val="006A7D52"/>
    <w:rsid w:val="00714E67"/>
    <w:rsid w:val="00753156"/>
    <w:rsid w:val="00845630"/>
    <w:rsid w:val="008F0322"/>
    <w:rsid w:val="009312CD"/>
    <w:rsid w:val="00943A55"/>
    <w:rsid w:val="00971396"/>
    <w:rsid w:val="0098582B"/>
    <w:rsid w:val="009E363F"/>
    <w:rsid w:val="00A60426"/>
    <w:rsid w:val="00B3134D"/>
    <w:rsid w:val="00C244FB"/>
    <w:rsid w:val="00C333A5"/>
    <w:rsid w:val="00C77F33"/>
    <w:rsid w:val="00C87458"/>
    <w:rsid w:val="00CD3022"/>
    <w:rsid w:val="00CF16C2"/>
    <w:rsid w:val="00D42401"/>
    <w:rsid w:val="00D61854"/>
    <w:rsid w:val="00D61CCF"/>
    <w:rsid w:val="00DD14E8"/>
    <w:rsid w:val="00DE58FC"/>
    <w:rsid w:val="00E264A8"/>
    <w:rsid w:val="00E4434F"/>
    <w:rsid w:val="00E64F57"/>
    <w:rsid w:val="00ED4108"/>
    <w:rsid w:val="00EE5136"/>
    <w:rsid w:val="00F40B01"/>
    <w:rsid w:val="00F86A29"/>
    <w:rsid w:val="00FA2935"/>
    <w:rsid w:val="00FC2AC0"/>
    <w:rsid w:val="00FC4B4F"/>
    <w:rsid w:val="00FE1BAC"/>
    <w:rsid w:val="00FE7D70"/>
    <w:rsid w:val="03EE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after="240" w:line="300" w:lineRule="auto"/>
      <w:jc w:val="center"/>
      <w:outlineLvl w:val="0"/>
    </w:pPr>
    <w:rPr>
      <w:b/>
      <w:bCs/>
      <w:kern w:val="44"/>
      <w:sz w:val="28"/>
      <w:szCs w:val="44"/>
    </w:rPr>
  </w:style>
  <w:style w:type="paragraph" w:styleId="3">
    <w:name w:val="heading 2"/>
    <w:basedOn w:val="1"/>
    <w:next w:val="1"/>
    <w:link w:val="9"/>
    <w:unhideWhenUsed/>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0"/>
    <w:rPr>
      <w:rFonts w:ascii="Times New Roman" w:hAnsi="Times New Roman" w:eastAsia="宋体" w:cs="Times New Roman"/>
      <w:b/>
      <w:bCs/>
      <w:kern w:val="44"/>
      <w:sz w:val="28"/>
      <w:szCs w:val="44"/>
    </w:rPr>
  </w:style>
  <w:style w:type="character" w:customStyle="1" w:styleId="9">
    <w:name w:val="标题 2 字符"/>
    <w:basedOn w:val="7"/>
    <w:link w:val="3"/>
    <w:qFormat/>
    <w:uiPriority w:val="0"/>
    <w:rPr>
      <w:rFonts w:ascii="等线 Light" w:hAnsi="等线 Light" w:eastAsia="等线 Light" w:cs="Times New Roman"/>
      <w:b/>
      <w:bCs/>
      <w:sz w:val="32"/>
      <w:szCs w:val="32"/>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DAB182-6377-4DF5-A801-2C3215823D83}">
  <ds:schemaRefs/>
</ds:datastoreItem>
</file>

<file path=docProps/app.xml><?xml version="1.0" encoding="utf-8"?>
<Properties xmlns="http://schemas.openxmlformats.org/officeDocument/2006/extended-properties" xmlns:vt="http://schemas.openxmlformats.org/officeDocument/2006/docPropsVTypes">
  <Template>Normal</Template>
  <Pages>6</Pages>
  <Words>728</Words>
  <Characters>4155</Characters>
  <Lines>34</Lines>
  <Paragraphs>9</Paragraphs>
  <TotalTime>251</TotalTime>
  <ScaleCrop>false</ScaleCrop>
  <LinksUpToDate>false</LinksUpToDate>
  <CharactersWithSpaces>4874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2019-07-24T02:08:00Z</dcterms:created>
  <dc:creator>刘晓</dc:creator>
  <cp:lastModifiedBy>泷</cp:lastModifiedBy>
  <dcterms:modified xsi:type="dcterms:W3CDTF">2020-09-21T09:40:57Z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