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Theme="minorEastAsia"/>
        </w:rPr>
        <w:instrText xml:space="preserve">ADDIN CNKISM.UserStyle</w:instrText>
      </w:r>
      <w:r>
        <w:rPr>
          <w:rFonts w:ascii="Times New Roman" w:hAnsi="Times New Roman" w:eastAsiaTheme="minorEastAsia"/>
        </w:rPr>
        <w:fldChar w:fldCharType="end"/>
      </w:r>
      <w:r>
        <w:rPr>
          <w:rFonts w:ascii="Times New Roman" w:hAnsi="Times New Roman" w:eastAsiaTheme="minorEastAsia"/>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b/>
          <w:sz w:val="28"/>
          <w:szCs w:val="30"/>
        </w:rPr>
        <w:t>【</w:t>
      </w:r>
      <w:r>
        <w:rPr>
          <w:rFonts w:hint="eastAsia" w:ascii="Times New Roman" w:hAnsi="Times New Roman"/>
          <w:b/>
          <w:sz w:val="28"/>
          <w:szCs w:val="30"/>
        </w:rPr>
        <w:t>网络数据挖掘与分析</w:t>
      </w:r>
      <w:r>
        <w:rPr>
          <w:rFonts w:ascii="Times New Roman" w:hAnsi="Times New Roman"/>
          <w:b/>
          <w:sz w:val="28"/>
          <w:szCs w:val="30"/>
        </w:rPr>
        <w:t>】</w:t>
      </w:r>
    </w:p>
    <w:p>
      <w:pPr>
        <w:shd w:val="clear" w:color="auto" w:fill="F5F5F5"/>
        <w:jc w:val="center"/>
        <w:textAlignment w:val="top"/>
        <w:rPr>
          <w:rFonts w:ascii="Times New Roman" w:hAnsi="Times New Roman"/>
          <w:color w:val="888888"/>
          <w:kern w:val="0"/>
          <w:sz w:val="20"/>
          <w:szCs w:val="20"/>
        </w:rPr>
      </w:pPr>
      <w:r>
        <w:rPr>
          <w:rFonts w:ascii="Times New Roman" w:hAnsi="Times New Roman"/>
          <w:b/>
          <w:sz w:val="28"/>
          <w:szCs w:val="30"/>
        </w:rPr>
        <w:t>【</w:t>
      </w:r>
      <w:r>
        <w:rPr>
          <w:rFonts w:hint="eastAsia" w:ascii="Times New Roman" w:hAnsi="Times New Roman"/>
          <w:b/>
          <w:sz w:val="28"/>
          <w:szCs w:val="30"/>
        </w:rPr>
        <w:t>Data Information and Visualization</w:t>
      </w:r>
      <w:r>
        <w:rPr>
          <w:rFonts w:ascii="Times New Roman" w:hAnsi="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sz w:val="20"/>
          <w:szCs w:val="20"/>
        </w:rPr>
        <w:t>203050</w:t>
      </w:r>
      <w:r>
        <w:rPr>
          <w:rFonts w:hint="eastAsia" w:ascii="Times New Roman" w:hAnsi="Times New Roman"/>
          <w:sz w:val="20"/>
          <w:szCs w:val="20"/>
          <w:lang w:val="en-US" w:eastAsia="zh-CN"/>
        </w:rPr>
        <w:t>2</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hint="eastAsia" w:ascii="Times New Roman" w:hAnsi="Times New Roman"/>
          <w:color w:val="000000"/>
          <w:sz w:val="20"/>
          <w:szCs w:val="20"/>
        </w:rPr>
        <w:t>传播学</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开课院系：新闻传播学院</w:t>
      </w:r>
    </w:p>
    <w:p>
      <w:pPr>
        <w:snapToGrid w:val="0"/>
        <w:spacing w:line="288" w:lineRule="auto"/>
        <w:ind w:firstLine="394" w:firstLineChars="196"/>
        <w:rPr>
          <w:rFonts w:hint="eastAsia" w:ascii="Times New Roman" w:hAnsi="Times New Roman"/>
          <w:b/>
          <w:bCs/>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w:t>
      </w:r>
      <w:r>
        <w:rPr>
          <w:rFonts w:ascii="Times New Roman" w:hAnsi="Times New Roman"/>
          <w:b w:val="0"/>
          <w:bCs w:val="0"/>
          <w:color w:val="000000"/>
          <w:sz w:val="20"/>
          <w:szCs w:val="20"/>
        </w:rPr>
        <w:t>《</w:t>
      </w:r>
      <w:r>
        <w:rPr>
          <w:rFonts w:hint="eastAsia" w:ascii="Times New Roman" w:hAnsi="Times New Roman"/>
          <w:b w:val="0"/>
          <w:bCs w:val="0"/>
          <w:color w:val="000000"/>
          <w:sz w:val="20"/>
          <w:szCs w:val="20"/>
          <w:lang w:val="en-US" w:eastAsia="zh-CN"/>
        </w:rPr>
        <w:t>人人都会数据分析</w:t>
      </w:r>
      <w:r>
        <w:rPr>
          <w:rFonts w:ascii="Times New Roman" w:hAnsi="Times New Roman"/>
          <w:b w:val="0"/>
          <w:bCs w:val="0"/>
          <w:color w:val="000000"/>
          <w:sz w:val="20"/>
          <w:szCs w:val="20"/>
        </w:rPr>
        <w:t>》</w:t>
      </w:r>
      <w:r>
        <w:rPr>
          <w:rFonts w:hint="eastAsia" w:ascii="Times New Roman" w:hAnsi="Times New Roman"/>
          <w:b w:val="0"/>
          <w:bCs w:val="0"/>
          <w:color w:val="000000"/>
          <w:sz w:val="20"/>
          <w:szCs w:val="20"/>
        </w:rPr>
        <w:t>，</w:t>
      </w:r>
      <w:r>
        <w:rPr>
          <w:rFonts w:hint="eastAsia" w:ascii="Times New Roman" w:hAnsi="Times New Roman"/>
          <w:b w:val="0"/>
          <w:bCs w:val="0"/>
          <w:color w:val="000000"/>
          <w:sz w:val="20"/>
          <w:szCs w:val="20"/>
          <w:lang w:eastAsia="zh-CN"/>
        </w:rPr>
        <w:t>谢运恩</w:t>
      </w:r>
      <w:r>
        <w:rPr>
          <w:rFonts w:hint="eastAsia" w:ascii="Times New Roman" w:hAnsi="Times New Roman"/>
          <w:b w:val="0"/>
          <w:bCs w:val="0"/>
          <w:color w:val="000000"/>
          <w:sz w:val="20"/>
          <w:szCs w:val="20"/>
        </w:rPr>
        <w:t>，</w:t>
      </w:r>
      <w:r>
        <w:rPr>
          <w:rFonts w:hint="eastAsia" w:ascii="Times New Roman" w:hAnsi="Times New Roman"/>
          <w:b w:val="0"/>
          <w:bCs w:val="0"/>
          <w:color w:val="000000"/>
          <w:sz w:val="20"/>
          <w:szCs w:val="20"/>
          <w:lang w:eastAsia="zh-CN"/>
        </w:rPr>
        <w:t>中国工信出版社</w:t>
      </w:r>
      <w:r>
        <w:rPr>
          <w:rFonts w:hint="eastAsia" w:ascii="Times New Roman" w:hAnsi="Times New Roman"/>
          <w:b w:val="0"/>
          <w:bCs w:val="0"/>
          <w:color w:val="000000"/>
          <w:sz w:val="20"/>
          <w:szCs w:val="20"/>
          <w:lang w:val="en-US" w:eastAsia="zh-CN"/>
        </w:rPr>
        <w:t>2017年12月第1版</w:t>
      </w:r>
      <w:r>
        <w:rPr>
          <w:rFonts w:ascii="Times New Roman" w:hAnsi="Times New Roman"/>
          <w:color w:val="000000"/>
          <w:sz w:val="20"/>
          <w:szCs w:val="20"/>
        </w:rPr>
        <w:t>】</w:t>
      </w:r>
    </w:p>
    <w:p>
      <w:pPr>
        <w:tabs>
          <w:tab w:val="left" w:pos="532"/>
        </w:tabs>
        <w:spacing w:line="288" w:lineRule="auto"/>
        <w:rPr>
          <w:rFonts w:ascii="Times New Roman" w:hAnsi="Times New Roman"/>
          <w:bCs/>
          <w:color w:val="000000"/>
          <w:sz w:val="20"/>
          <w:szCs w:val="20"/>
        </w:rPr>
      </w:pPr>
      <w:r>
        <w:rPr>
          <w:rFonts w:ascii="Times New Roman" w:hAnsi="Times New Roman"/>
          <w:b/>
          <w:bCs/>
          <w:color w:val="000000"/>
          <w:sz w:val="20"/>
          <w:szCs w:val="20"/>
        </w:rPr>
        <w:t xml:space="preserve">      </w:t>
      </w:r>
      <w:r>
        <w:rPr>
          <w:rFonts w:ascii="Times New Roman" w:hAnsi="Times New Roman"/>
          <w:bCs/>
          <w:color w:val="000000"/>
          <w:sz w:val="20"/>
          <w:szCs w:val="20"/>
        </w:rPr>
        <w:t>参考书目</w:t>
      </w:r>
      <w:r>
        <w:rPr>
          <w:rFonts w:ascii="Times New Roman" w:hAnsi="Times New Roman"/>
          <w:color w:val="000000"/>
          <w:sz w:val="20"/>
          <w:szCs w:val="20"/>
        </w:rPr>
        <w:t>【《数据可视化与数据挖掘：基于Tableau和SPSS Modeler图形界面》</w:t>
      </w:r>
      <w:r>
        <w:rPr>
          <w:rFonts w:hint="eastAsia" w:ascii="Times New Roman" w:hAnsi="Times New Roman"/>
          <w:color w:val="000000"/>
          <w:sz w:val="20"/>
          <w:szCs w:val="20"/>
        </w:rPr>
        <w:t>，</w:t>
      </w:r>
      <w:r>
        <w:rPr>
          <w:rFonts w:ascii="Times New Roman" w:hAnsi="Times New Roman"/>
          <w:color w:val="000000"/>
          <w:sz w:val="20"/>
          <w:szCs w:val="20"/>
        </w:rPr>
        <w:t>王国平</w:t>
      </w:r>
      <w:r>
        <w:rPr>
          <w:rFonts w:hint="eastAsia" w:ascii="Times New Roman" w:hAnsi="Times New Roman"/>
          <w:color w:val="000000"/>
          <w:sz w:val="20"/>
          <w:szCs w:val="20"/>
        </w:rPr>
        <w:t>，</w:t>
      </w:r>
      <w:r>
        <w:rPr>
          <w:rFonts w:ascii="Times New Roman" w:hAnsi="Times New Roman"/>
          <w:color w:val="000000"/>
          <w:sz w:val="20"/>
          <w:szCs w:val="20"/>
        </w:rPr>
        <w:t>电子工业出版社2017年版】</w:t>
      </w:r>
    </w:p>
    <w:p>
      <w:pPr>
        <w:tabs>
          <w:tab w:val="left" w:pos="532"/>
        </w:tabs>
        <w:spacing w:line="288" w:lineRule="auto"/>
        <w:ind w:firstLine="1400" w:firstLineChars="700"/>
        <w:rPr>
          <w:rFonts w:ascii="Times New Roman" w:hAnsi="Times New Roman"/>
          <w:color w:val="000000"/>
          <w:sz w:val="20"/>
          <w:szCs w:val="20"/>
        </w:rPr>
      </w:pPr>
      <w:r>
        <w:rPr>
          <w:rFonts w:ascii="Times New Roman" w:hAnsi="Times New Roman"/>
          <w:color w:val="000000"/>
          <w:sz w:val="20"/>
          <w:szCs w:val="20"/>
        </w:rPr>
        <w:t>【《数据分析与数据挖掘使用教程》</w:t>
      </w:r>
      <w:r>
        <w:rPr>
          <w:rFonts w:hint="eastAsia" w:ascii="Times New Roman" w:hAnsi="Times New Roman"/>
          <w:color w:val="000000"/>
          <w:sz w:val="20"/>
          <w:szCs w:val="20"/>
        </w:rPr>
        <w:t>，</w:t>
      </w:r>
      <w:r>
        <w:rPr>
          <w:rFonts w:ascii="Times New Roman" w:hAnsi="Times New Roman"/>
          <w:color w:val="000000"/>
          <w:sz w:val="20"/>
          <w:szCs w:val="20"/>
        </w:rPr>
        <w:t>殷复莲</w:t>
      </w:r>
      <w:r>
        <w:rPr>
          <w:rFonts w:hint="eastAsia" w:ascii="Times New Roman" w:hAnsi="Times New Roman"/>
          <w:color w:val="000000"/>
          <w:sz w:val="20"/>
          <w:szCs w:val="20"/>
        </w:rPr>
        <w:t>，</w:t>
      </w:r>
      <w:r>
        <w:rPr>
          <w:rFonts w:ascii="Times New Roman" w:hAnsi="Times New Roman"/>
          <w:color w:val="000000"/>
          <w:sz w:val="20"/>
          <w:szCs w:val="20"/>
        </w:rPr>
        <w:t>中国传媒出版社 2017年版】</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课程网站网址：</w:t>
      </w:r>
    </w:p>
    <w:p>
      <w:pPr>
        <w:adjustRightInd w:val="0"/>
        <w:snapToGrid w:val="0"/>
        <w:spacing w:line="288" w:lineRule="auto"/>
        <w:ind w:firstLine="392" w:firstLineChars="196"/>
        <w:rPr>
          <w:rFonts w:hint="eastAsia" w:ascii="Times New Roman" w:hAnsi="Times New Roman"/>
          <w:b w:val="0"/>
          <w:bCs w:val="0"/>
          <w:color w:val="auto"/>
          <w:sz w:val="20"/>
          <w:szCs w:val="20"/>
          <w:u w:val="none"/>
        </w:rPr>
      </w:pPr>
      <w:r>
        <w:rPr>
          <w:rFonts w:hint="eastAsia" w:ascii="Times New Roman" w:hAnsi="Times New Roman"/>
          <w:b w:val="0"/>
          <w:bCs w:val="0"/>
          <w:color w:val="auto"/>
          <w:sz w:val="20"/>
          <w:szCs w:val="20"/>
          <w:u w:val="none"/>
        </w:rPr>
        <w:fldChar w:fldCharType="begin"/>
      </w:r>
      <w:r>
        <w:rPr>
          <w:rFonts w:hint="eastAsia" w:ascii="Times New Roman" w:hAnsi="Times New Roman"/>
          <w:b w:val="0"/>
          <w:bCs w:val="0"/>
          <w:color w:val="auto"/>
          <w:sz w:val="20"/>
          <w:szCs w:val="20"/>
          <w:u w:val="none"/>
        </w:rPr>
        <w:instrText xml:space="preserve"> HYPERLINK "https://elearning.gench.edu.cn:8443/webapps/discussionboard/do/conference?toggle_mode=edit&amp;action=list_forums&amp;course_id=_28325_1&amp;nav=discussion_board_entry&amp;mode=cpview" </w:instrText>
      </w:r>
      <w:r>
        <w:rPr>
          <w:rFonts w:hint="eastAsia" w:ascii="Times New Roman" w:hAnsi="Times New Roman"/>
          <w:b w:val="0"/>
          <w:bCs w:val="0"/>
          <w:color w:val="auto"/>
          <w:sz w:val="20"/>
          <w:szCs w:val="20"/>
          <w:u w:val="none"/>
        </w:rPr>
        <w:fldChar w:fldCharType="separate"/>
      </w:r>
      <w:r>
        <w:rPr>
          <w:rStyle w:val="8"/>
          <w:rFonts w:hint="eastAsia" w:ascii="Times New Roman" w:hAnsi="Times New Roman"/>
          <w:b w:val="0"/>
          <w:bCs w:val="0"/>
          <w:color w:val="auto"/>
          <w:sz w:val="20"/>
          <w:szCs w:val="20"/>
          <w:u w:val="none"/>
        </w:rPr>
        <w:t>https://elearning.gench.edu.cn:8443/webapps/discussionboard/do/conference?toggle_mode=edit&amp;action=list_forums&amp;course_id=_28325_1&amp;nav=discussion_board_entry&amp;mode=cpview</w:t>
      </w:r>
      <w:r>
        <w:rPr>
          <w:rFonts w:hint="eastAsia" w:ascii="Times New Roman" w:hAnsi="Times New Roman"/>
          <w:b w:val="0"/>
          <w:bCs w:val="0"/>
          <w:color w:val="auto"/>
          <w:sz w:val="20"/>
          <w:szCs w:val="20"/>
          <w:u w:val="none"/>
        </w:rPr>
        <w:fldChar w:fldCharType="end"/>
      </w:r>
    </w:p>
    <w:p>
      <w:pPr>
        <w:adjustRightInd w:val="0"/>
        <w:snapToGrid w:val="0"/>
        <w:spacing w:line="288" w:lineRule="auto"/>
        <w:ind w:firstLine="394" w:firstLineChars="196"/>
        <w:rPr>
          <w:rFonts w:hint="eastAsia" w:asciiTheme="majorBidi" w:hAnsiTheme="majorBidi" w:cstheme="majorBidi"/>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asciiTheme="majorBidi" w:hAnsiTheme="majorBidi" w:eastAsiaTheme="minorEastAsia" w:cstheme="majorBidi"/>
          <w:color w:val="000000"/>
          <w:sz w:val="20"/>
          <w:szCs w:val="20"/>
        </w:rPr>
        <w:t>传播学概论，2030003</w:t>
      </w:r>
      <w:r>
        <w:rPr>
          <w:rFonts w:hint="eastAsia" w:asciiTheme="majorBidi" w:hAnsiTheme="majorBidi" w:eastAsiaTheme="minorEastAsia" w:cstheme="majorBidi"/>
          <w:color w:val="000000"/>
          <w:sz w:val="20"/>
          <w:szCs w:val="20"/>
        </w:rPr>
        <w:t>（4）</w:t>
      </w:r>
      <w:r>
        <w:rPr>
          <w:rFonts w:hint="eastAsia" w:ascii="仿宋" w:hAnsi="仿宋" w:eastAsia="仿宋" w:cs="仿宋"/>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信息化时代和大数据浪潮使社会和企业对</w:t>
      </w:r>
      <w:r>
        <w:rPr>
          <w:rFonts w:hint="eastAsia" w:ascii="Times New Roman" w:hAnsi="Times New Roman"/>
          <w:color w:val="000000"/>
          <w:sz w:val="20"/>
          <w:szCs w:val="20"/>
        </w:rPr>
        <w:t>传播学</w:t>
      </w:r>
      <w:r>
        <w:rPr>
          <w:rFonts w:ascii="Times New Roman" w:hAnsi="Times New Roman"/>
          <w:color w:val="000000"/>
          <w:sz w:val="20"/>
          <w:szCs w:val="20"/>
        </w:rPr>
        <w:t>专业的学生要求掌握一定的数据挖掘和数据分析的能力，并掌握一定的数据可视化能力。本课程</w:t>
      </w:r>
      <w:r>
        <w:rPr>
          <w:rFonts w:hint="eastAsia" w:ascii="Times New Roman" w:hAnsi="Times New Roman"/>
          <w:color w:val="000000"/>
          <w:sz w:val="20"/>
          <w:szCs w:val="20"/>
        </w:rPr>
        <w:t>3</w:t>
      </w:r>
      <w:r>
        <w:rPr>
          <w:rFonts w:ascii="Times New Roman" w:hAnsi="Times New Roman"/>
          <w:color w:val="000000"/>
          <w:sz w:val="20"/>
          <w:szCs w:val="20"/>
        </w:rPr>
        <w:t>2</w:t>
      </w:r>
      <w:r>
        <w:rPr>
          <w:rFonts w:hint="eastAsia" w:ascii="Times New Roman" w:hAnsi="Times New Roman"/>
          <w:color w:val="000000"/>
          <w:sz w:val="20"/>
          <w:szCs w:val="20"/>
        </w:rPr>
        <w:t>课时，其中实践教学为1</w:t>
      </w:r>
      <w:r>
        <w:rPr>
          <w:rFonts w:ascii="Times New Roman" w:hAnsi="Times New Roman"/>
          <w:color w:val="000000"/>
          <w:sz w:val="20"/>
          <w:szCs w:val="20"/>
        </w:rPr>
        <w:t>6</w:t>
      </w:r>
      <w:r>
        <w:rPr>
          <w:rFonts w:hint="eastAsia" w:ascii="Times New Roman" w:hAnsi="Times New Roman"/>
          <w:color w:val="000000"/>
          <w:sz w:val="20"/>
          <w:szCs w:val="20"/>
        </w:rPr>
        <w:t>课时，共计2学分，</w:t>
      </w:r>
      <w:r>
        <w:rPr>
          <w:rFonts w:ascii="Times New Roman" w:hAnsi="Times New Roman"/>
          <w:color w:val="000000"/>
          <w:sz w:val="20"/>
          <w:szCs w:val="20"/>
        </w:rPr>
        <w:t>通过数据分析概述、数据收集方法、数据处理与分析方法、数据可视化报道呈现等知识与技能，培养学生数据采集、数据分析与数据可视化的能力，独立完成数据分析报告的全过程。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本课程教学需培养以下四方面能力：培养学生获取网络新媒体数据的能力；建立学生对数据信息描述的逻辑；训练学生发散性思维的能力；提高学生数据信息整合和图形设计的综合能力。课程通过项目制教学方法，指导学生进行数据分析报告的撰写。</w:t>
      </w:r>
    </w:p>
    <w:p>
      <w:pPr>
        <w:snapToGrid w:val="0"/>
        <w:spacing w:line="288" w:lineRule="auto"/>
        <w:ind w:firstLine="400" w:firstLineChars="200"/>
        <w:rPr>
          <w:rFonts w:hint="eastAsia" w:ascii="Times New Roman" w:hAnsi="Times New Roman"/>
          <w:color w:val="000000"/>
          <w:sz w:val="20"/>
          <w:szCs w:val="20"/>
        </w:rPr>
      </w:pPr>
      <w:r>
        <w:rPr>
          <w:rFonts w:hint="eastAsia" w:ascii="Times New Roman" w:hAnsi="Times New Roman"/>
          <w:color w:val="000000"/>
          <w:sz w:val="20"/>
          <w:szCs w:val="20"/>
        </w:rPr>
        <w:t>通过这门课程，学生可以掌握大数据时代新闻传播专业人才所需的三种核心能力，即获取与公众利益相关数据的能力、运用软件工具分析数据价值的能力、制作数据</w:t>
      </w:r>
      <w:r>
        <w:rPr>
          <w:rFonts w:hint="eastAsia" w:ascii="Times New Roman" w:hAnsi="Times New Roman"/>
          <w:color w:val="000000"/>
          <w:sz w:val="20"/>
          <w:szCs w:val="20"/>
          <w:lang w:eastAsia="zh-CN"/>
        </w:rPr>
        <w:t>分析报告</w:t>
      </w:r>
      <w:r>
        <w:rPr>
          <w:rFonts w:hint="eastAsia" w:ascii="Times New Roman" w:hAnsi="Times New Roman"/>
          <w:color w:val="000000"/>
          <w:sz w:val="20"/>
          <w:szCs w:val="20"/>
        </w:rPr>
        <w:t>并将其可视化的能力。</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eastAsiaTheme="minorEastAsia"/>
          <w:color w:val="000000"/>
          <w:sz w:val="20"/>
          <w:szCs w:val="20"/>
        </w:rPr>
      </w:pPr>
      <w:r>
        <w:rPr>
          <w:rFonts w:ascii="Times New Roman" w:hAnsi="Times New Roman"/>
          <w:color w:val="000000"/>
          <w:sz w:val="20"/>
          <w:szCs w:val="20"/>
        </w:rPr>
        <w:t>本课程适合</w:t>
      </w:r>
      <w:r>
        <w:rPr>
          <w:rFonts w:hint="eastAsia" w:ascii="Times New Roman" w:hAnsi="Times New Roman"/>
          <w:color w:val="000000"/>
          <w:sz w:val="20"/>
          <w:szCs w:val="20"/>
        </w:rPr>
        <w:t>传播学</w:t>
      </w:r>
      <w:r>
        <w:rPr>
          <w:rFonts w:ascii="Times New Roman" w:hAnsi="Times New Roman"/>
          <w:color w:val="000000"/>
          <w:sz w:val="20"/>
          <w:szCs w:val="20"/>
        </w:rPr>
        <w:t>专业</w:t>
      </w:r>
      <w:r>
        <w:rPr>
          <w:rFonts w:hint="eastAsia" w:ascii="Times New Roman" w:hAnsi="Times New Roman"/>
          <w:color w:val="000000"/>
          <w:sz w:val="20"/>
          <w:szCs w:val="20"/>
          <w:lang w:eastAsia="zh-CN"/>
        </w:rPr>
        <w:t>高</w:t>
      </w:r>
      <w:r>
        <w:rPr>
          <w:rFonts w:hint="eastAsia" w:ascii="Times New Roman" w:hAnsi="Times New Roman"/>
          <w:color w:val="000000"/>
          <w:sz w:val="20"/>
          <w:szCs w:val="20"/>
        </w:rPr>
        <w:t>年级</w:t>
      </w:r>
      <w:r>
        <w:rPr>
          <w:rFonts w:ascii="Times New Roman" w:hAnsi="Times New Roman"/>
          <w:color w:val="000000"/>
          <w:sz w:val="20"/>
          <w:szCs w:val="20"/>
        </w:rPr>
        <w:t>学生学习。</w:t>
      </w:r>
    </w:p>
    <w:p>
      <w:pPr>
        <w:widowControl/>
        <w:numPr>
          <w:ilvl w:val="0"/>
          <w:numId w:val="1"/>
        </w:numPr>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课程与专业毕业要求的关联性</w:t>
      </w:r>
    </w:p>
    <w:tbl>
      <w:tblPr>
        <w:tblStyle w:val="5"/>
        <w:tblW w:w="8222" w:type="dxa"/>
        <w:tblInd w:w="108" w:type="dxa"/>
        <w:tblLayout w:type="fixed"/>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widowControl/>
              <w:numPr>
                <w:ilvl w:val="0"/>
                <w:numId w:val="1"/>
              </w:numPr>
              <w:ind w:firstLineChars="0"/>
              <w:jc w:val="center"/>
              <w:rPr>
                <w:rFonts w:asciiTheme="majorBidi" w:hAnsiTheme="majorBidi" w:cstheme="majorBidi"/>
                <w:color w:val="auto"/>
                <w:kern w:val="0"/>
                <w:sz w:val="20"/>
                <w:szCs w:val="20"/>
              </w:rPr>
            </w:pPr>
            <w:r>
              <w:rPr>
                <w:rFonts w:eastAsia="黑体" w:asciiTheme="majorBidi" w:hAnsiTheme="majorBidi" w:cstheme="majorBidi"/>
                <w:color w:val="auto"/>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eastAsia="黑体" w:asciiTheme="majorBidi" w:hAnsiTheme="majorBidi" w:cstheme="majorBidi"/>
                <w:color w:val="auto"/>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 xml:space="preserve"> </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 xml:space="preserve"> </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bl>
    <w:p>
      <w:pPr>
        <w:rPr>
          <w:rFonts w:hint="eastAsia" w:ascii="Times New Roman" w:hAnsi="Times New Roman"/>
        </w:rPr>
      </w:pPr>
    </w:p>
    <w:tbl>
      <w:tblPr>
        <w:tblStyle w:val="5"/>
        <w:tblpPr w:leftFromText="180" w:rightFromText="180" w:vertAnchor="text" w:horzAnchor="margin" w:tblpXSpec="center" w:tblpY="8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27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序号</w:t>
            </w:r>
          </w:p>
        </w:tc>
        <w:tc>
          <w:tcPr>
            <w:tcW w:w="1276" w:type="dxa"/>
          </w:tcPr>
          <w:p>
            <w:pPr>
              <w:snapToGrid w:val="0"/>
              <w:spacing w:line="360" w:lineRule="auto"/>
              <w:jc w:val="center"/>
              <w:rPr>
                <w:rFonts w:asciiTheme="majorBidi" w:hAnsiTheme="majorBidi" w:cstheme="majorBidi"/>
                <w:b/>
                <w:color w:val="auto"/>
                <w:sz w:val="20"/>
                <w:szCs w:val="20"/>
              </w:rPr>
            </w:pPr>
            <w:r>
              <w:rPr>
                <w:rFonts w:asciiTheme="majorBidi" w:hAnsiTheme="majorBidi" w:cstheme="majorBidi"/>
                <w:b/>
                <w:color w:val="auto"/>
                <w:sz w:val="20"/>
                <w:szCs w:val="20"/>
              </w:rPr>
              <w:t>课程预期</w:t>
            </w:r>
          </w:p>
          <w:p>
            <w:pPr>
              <w:snapToGrid w:val="0"/>
              <w:spacing w:line="360" w:lineRule="auto"/>
              <w:jc w:val="center"/>
              <w:rPr>
                <w:rFonts w:asciiTheme="majorBidi" w:hAnsiTheme="majorBidi" w:cstheme="majorBidi"/>
                <w:b/>
                <w:color w:val="auto"/>
                <w:sz w:val="20"/>
                <w:szCs w:val="20"/>
              </w:rPr>
            </w:pPr>
            <w:r>
              <w:rPr>
                <w:rFonts w:asciiTheme="majorBidi" w:hAnsiTheme="majorBidi" w:cstheme="majorBidi"/>
                <w:b/>
                <w:color w:val="auto"/>
                <w:sz w:val="20"/>
                <w:szCs w:val="20"/>
              </w:rPr>
              <w:t>学习成果</w:t>
            </w:r>
          </w:p>
        </w:tc>
        <w:tc>
          <w:tcPr>
            <w:tcW w:w="2693" w:type="dxa"/>
            <w:shd w:val="clear" w:color="auto" w:fill="auto"/>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课程预期学习成果</w:t>
            </w:r>
          </w:p>
          <w:p>
            <w:pPr>
              <w:snapToGrid w:val="0"/>
              <w:spacing w:line="288" w:lineRule="auto"/>
              <w:jc w:val="center"/>
              <w:rPr>
                <w:rFonts w:hint="eastAsia" w:ascii="Times New Roman" w:hAnsi="Times New Roman"/>
                <w:b/>
                <w:color w:val="auto"/>
                <w:sz w:val="20"/>
                <w:szCs w:val="20"/>
              </w:rPr>
            </w:pPr>
            <w:r>
              <w:rPr>
                <w:rFonts w:asciiTheme="majorBidi" w:hAnsiTheme="majorBidi" w:cstheme="majorBidi"/>
                <w:b/>
                <w:color w:val="auto"/>
                <w:sz w:val="20"/>
                <w:szCs w:val="20"/>
              </w:rPr>
              <w:t>（细化的预期学习成果）</w:t>
            </w:r>
          </w:p>
        </w:tc>
        <w:tc>
          <w:tcPr>
            <w:tcW w:w="2727"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教与学方式</w:t>
            </w:r>
          </w:p>
        </w:tc>
        <w:tc>
          <w:tcPr>
            <w:tcW w:w="1101"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1</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211</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ascii="Times New Roman" w:hAnsi="Times New Roman"/>
                <w:bCs/>
                <w:color w:val="auto"/>
                <w:kern w:val="0"/>
                <w:sz w:val="20"/>
                <w:szCs w:val="20"/>
              </w:rPr>
              <w:t>学生能根据环境需要确定自己的学习目标，并主动地通过搜集信息、分析信息、讨论、实践、质疑、创造等方法来实现学习目标。</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数据分析报告选题、小组讨论</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hint="eastAsia" w:ascii="Times New Roman" w:hAnsi="Times New Roman"/>
                <w:bCs/>
                <w:color w:val="auto"/>
                <w:sz w:val="20"/>
                <w:szCs w:val="20"/>
                <w:lang w:eastAsia="zh-CN"/>
              </w:rPr>
              <w:t>课堂互动</w:t>
            </w:r>
            <w:r>
              <w:rPr>
                <w:rFonts w:ascii="Times New Roman" w:hAnsi="Times New Roman"/>
                <w:bCs/>
                <w:color w:val="auto"/>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2</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33</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ascii="Times New Roman" w:hAnsi="Times New Roman"/>
                <w:bCs/>
                <w:color w:val="auto"/>
                <w:kern w:val="0"/>
                <w:sz w:val="20"/>
                <w:szCs w:val="20"/>
              </w:rPr>
              <w:t>文本写作：根据</w:t>
            </w:r>
            <w:r>
              <w:rPr>
                <w:rFonts w:hint="eastAsia" w:ascii="Times New Roman" w:hAnsi="Times New Roman"/>
                <w:bCs/>
                <w:color w:val="auto"/>
                <w:kern w:val="0"/>
                <w:sz w:val="20"/>
                <w:szCs w:val="20"/>
              </w:rPr>
              <w:t>文献综述和分析报告</w:t>
            </w:r>
            <w:r>
              <w:rPr>
                <w:rFonts w:ascii="Times New Roman" w:hAnsi="Times New Roman"/>
                <w:bCs/>
                <w:color w:val="auto"/>
                <w:kern w:val="0"/>
                <w:sz w:val="20"/>
                <w:szCs w:val="20"/>
              </w:rPr>
              <w:t>的规范要求，具备基本的文本写作能力。</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案例分析、小组讨论、课堂互动</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数据分析报告</w:t>
            </w:r>
          </w:p>
          <w:p>
            <w:pPr>
              <w:snapToGrid w:val="0"/>
              <w:spacing w:line="288" w:lineRule="auto"/>
              <w:jc w:val="center"/>
              <w:rPr>
                <w:rFonts w:hint="eastAsia" w:ascii="Times New Roman" w:hAnsi="Times New Roman" w:eastAsia="宋体"/>
                <w:bCs/>
                <w:color w:val="auto"/>
                <w:sz w:val="20"/>
                <w:szCs w:val="20"/>
                <w:lang w:eastAsia="zh-CN"/>
              </w:rPr>
            </w:pPr>
            <w:r>
              <w:rPr>
                <w:rFonts w:hint="eastAsia" w:ascii="Times New Roman" w:hAnsi="Times New Roman"/>
                <w:bCs/>
                <w:color w:val="auto"/>
                <w:sz w:val="20"/>
                <w:szCs w:val="20"/>
                <w:lang w:eastAsia="zh-CN"/>
              </w:rPr>
              <w:t>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3</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LO712</w:t>
            </w:r>
          </w:p>
        </w:tc>
        <w:tc>
          <w:tcPr>
            <w:tcW w:w="2693" w:type="dxa"/>
            <w:shd w:val="clear" w:color="auto" w:fill="auto"/>
            <w:vAlign w:val="center"/>
          </w:tcPr>
          <w:p>
            <w:pPr>
              <w:snapToGrid w:val="0"/>
              <w:spacing w:line="288" w:lineRule="auto"/>
              <w:rPr>
                <w:rFonts w:ascii="Times New Roman" w:hAnsi="Times New Roman"/>
                <w:bCs/>
                <w:color w:val="auto"/>
                <w:kern w:val="0"/>
                <w:sz w:val="20"/>
                <w:szCs w:val="20"/>
              </w:rPr>
            </w:pPr>
            <w:r>
              <w:rPr>
                <w:rFonts w:hint="eastAsia" w:ascii="Times New Roman" w:hAnsi="Times New Roman"/>
                <w:bCs/>
                <w:color w:val="auto"/>
                <w:kern w:val="0"/>
                <w:sz w:val="20"/>
                <w:szCs w:val="20"/>
              </w:rPr>
              <w:t>助人为乐，与团队其他吗成员保持互帮互助的良好合作关系。</w:t>
            </w:r>
          </w:p>
          <w:p>
            <w:pPr>
              <w:snapToGrid w:val="0"/>
              <w:spacing w:line="288" w:lineRule="auto"/>
              <w:rPr>
                <w:rFonts w:ascii="Times New Roman" w:hAnsi="Times New Roman"/>
                <w:bCs/>
                <w:color w:val="auto"/>
                <w:sz w:val="20"/>
                <w:szCs w:val="20"/>
              </w:rPr>
            </w:pP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小组根据时间节点准时完成数据分析报告的每个流程，小组成员间既有分工，更有合作（如数据收集与数据分析的同学必须有分工也有合作）</w:t>
            </w:r>
          </w:p>
        </w:tc>
        <w:tc>
          <w:tcPr>
            <w:tcW w:w="1101" w:type="dxa"/>
            <w:shd w:val="clear" w:color="auto" w:fill="auto"/>
            <w:vAlign w:val="center"/>
          </w:tcPr>
          <w:p>
            <w:pPr>
              <w:snapToGrid w:val="0"/>
              <w:spacing w:line="288" w:lineRule="auto"/>
              <w:jc w:val="center"/>
              <w:rPr>
                <w:rFonts w:hint="eastAsia" w:ascii="Times New Roman" w:hAnsi="Times New Roman" w:eastAsia="宋体"/>
                <w:bCs/>
                <w:color w:val="auto"/>
                <w:sz w:val="20"/>
                <w:szCs w:val="20"/>
                <w:lang w:eastAsia="zh-CN"/>
              </w:rPr>
            </w:pPr>
            <w:r>
              <w:rPr>
                <w:rFonts w:hint="eastAsia" w:ascii="Times New Roman" w:hAnsi="Times New Roman"/>
                <w:bCs/>
                <w:color w:val="auto"/>
                <w:sz w:val="20"/>
                <w:szCs w:val="20"/>
                <w:lang w:eastAsia="zh-CN"/>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4</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612</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hint="eastAsia" w:ascii="Times New Roman" w:hAnsi="Times New Roman"/>
                <w:bCs/>
                <w:color w:val="auto"/>
                <w:kern w:val="0"/>
                <w:sz w:val="20"/>
                <w:szCs w:val="20"/>
              </w:rPr>
              <w:t>面对大众传播内容，</w:t>
            </w:r>
            <w:r>
              <w:rPr>
                <w:rFonts w:ascii="Times New Roman" w:hAnsi="Times New Roman"/>
                <w:bCs/>
                <w:color w:val="auto"/>
                <w:kern w:val="0"/>
                <w:sz w:val="20"/>
                <w:szCs w:val="20"/>
              </w:rPr>
              <w:t>具备一定的信息素养，并能在工作中应用信息技术解决问题。</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讲授数据采集（火车采集器、八爪鱼采集器）、数据分析（SPSS软件、SPSS AU系统）、可视化（Tableau、百度图说、六只小熊）相关软件的使用</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口头报告</w:t>
            </w:r>
          </w:p>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以网页形式展现数据分析报告</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p>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jc w:val="left"/>
        <w:rPr>
          <w:rFonts w:hint="eastAsia" w:ascii="Times New Roman" w:hAnsi="Times New Roman" w:eastAsia="黑体"/>
          <w:sz w:val="24"/>
        </w:rPr>
      </w:pPr>
      <w:r>
        <w:rPr>
          <w:rFonts w:ascii="Times New Roman" w:hAnsi="Times New Roman" w:eastAsia="黑体"/>
          <w:sz w:val="24"/>
        </w:rPr>
        <w:t>六、课程内容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单元及课时</w:t>
            </w:r>
          </w:p>
        </w:tc>
        <w:tc>
          <w:tcPr>
            <w:tcW w:w="1228"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工作任务</w:t>
            </w:r>
          </w:p>
        </w:tc>
        <w:tc>
          <w:tcPr>
            <w:tcW w:w="1612"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技能要求</w:t>
            </w:r>
          </w:p>
        </w:tc>
        <w:tc>
          <w:tcPr>
            <w:tcW w:w="1420"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知识要求</w:t>
            </w:r>
          </w:p>
        </w:tc>
        <w:tc>
          <w:tcPr>
            <w:tcW w:w="1421"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项目（综合运用）</w:t>
            </w:r>
          </w:p>
        </w:tc>
        <w:tc>
          <w:tcPr>
            <w:tcW w:w="1421"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2"/>
              </w:numPr>
              <w:snapToGrid w:val="0"/>
              <w:spacing w:line="288" w:lineRule="auto"/>
              <w:rPr>
                <w:rFonts w:ascii="Times New Roman" w:hAnsi="Times New Roman"/>
                <w:color w:val="auto"/>
                <w:sz w:val="20"/>
                <w:szCs w:val="20"/>
              </w:rPr>
            </w:pPr>
            <w:r>
              <w:rPr>
                <w:rFonts w:ascii="Times New Roman" w:hAnsi="Times New Roman"/>
                <w:color w:val="auto"/>
                <w:sz w:val="20"/>
                <w:szCs w:val="20"/>
              </w:rPr>
              <w:t>讲解与案例分析</w:t>
            </w:r>
          </w:p>
          <w:p>
            <w:pPr>
              <w:snapToGrid w:val="0"/>
              <w:spacing w:line="288" w:lineRule="auto"/>
              <w:jc w:val="center"/>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hint="eastAsia" w:ascii="Times New Roman" w:hAnsi="Times New Roman"/>
                <w:color w:val="auto"/>
                <w:sz w:val="20"/>
                <w:szCs w:val="20"/>
              </w:rPr>
              <w:t>理论课时：</w:t>
            </w:r>
            <w:r>
              <w:rPr>
                <w:rFonts w:ascii="Times New Roman" w:hAnsi="Times New Roman"/>
                <w:color w:val="auto"/>
                <w:sz w:val="20"/>
                <w:szCs w:val="20"/>
              </w:rPr>
              <w:t>8</w:t>
            </w:r>
          </w:p>
          <w:p>
            <w:pPr>
              <w:snapToGrid w:val="0"/>
              <w:spacing w:line="288" w:lineRule="auto"/>
              <w:rPr>
                <w:rFonts w:hint="eastAsia" w:ascii="Times New Roman" w:hAnsi="Times New Roman"/>
                <w:color w:val="auto"/>
                <w:sz w:val="20"/>
                <w:szCs w:val="20"/>
              </w:rPr>
            </w:pPr>
            <w:r>
              <w:rPr>
                <w:rFonts w:hint="eastAsia" w:ascii="Times New Roman" w:hAnsi="Times New Roman"/>
                <w:color w:val="auto"/>
                <w:sz w:val="20"/>
                <w:szCs w:val="20"/>
              </w:rPr>
              <w:t>实践课时：1</w:t>
            </w:r>
            <w:r>
              <w:rPr>
                <w:rFonts w:ascii="Times New Roman" w:hAnsi="Times New Roman"/>
                <w:color w:val="auto"/>
                <w:sz w:val="20"/>
                <w:szCs w:val="20"/>
              </w:rPr>
              <w:t>6</w:t>
            </w:r>
          </w:p>
        </w:tc>
        <w:tc>
          <w:tcPr>
            <w:tcW w:w="1228"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介绍数据分析报告这一新型的报告形态以及独立完成数据分析报告的过程</w:t>
            </w:r>
          </w:p>
        </w:tc>
        <w:tc>
          <w:tcPr>
            <w:tcW w:w="1612" w:type="dxa"/>
            <w:vAlign w:val="center"/>
          </w:tcPr>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掌握公开发表数据的搜集与未公开发表数据的采集方法，掌握火车采集器与CNBI e-study软件的使用；</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能运用SPSS统计软件对数据进行清理与分析；</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能综合获取的数据资料构思新闻分析报告；</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掌握信息图表的设计和制作；</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掌握Tableau数据可视化操作。</w:t>
            </w:r>
          </w:p>
          <w:p>
            <w:pPr>
              <w:snapToGrid w:val="0"/>
              <w:spacing w:line="288" w:lineRule="auto"/>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ascii="Times New Roman" w:hAnsi="Times New Roman"/>
                <w:color w:val="auto"/>
                <w:sz w:val="20"/>
                <w:szCs w:val="20"/>
              </w:rPr>
              <w:t>重点与难点：（1）掌握数据分析的能力；</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（2）掌握数据可视化报道的能力。</w:t>
            </w:r>
          </w:p>
        </w:tc>
        <w:tc>
          <w:tcPr>
            <w:tcW w:w="1420" w:type="dxa"/>
            <w:vAlign w:val="center"/>
          </w:tcPr>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理解数据的内涵，建立对数据的基本概念；</w:t>
            </w:r>
          </w:p>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知道数据分析报告的撰写流程；</w:t>
            </w:r>
          </w:p>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掌握数据分析的统计学基础知识。</w:t>
            </w:r>
          </w:p>
          <w:p>
            <w:pPr>
              <w:snapToGrid w:val="0"/>
              <w:spacing w:line="288" w:lineRule="auto"/>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ascii="Times New Roman" w:hAnsi="Times New Roman"/>
                <w:color w:val="auto"/>
                <w:sz w:val="20"/>
                <w:szCs w:val="20"/>
              </w:rPr>
              <w:t>重点与难点：熟悉数据与统计学基础知识。</w:t>
            </w:r>
          </w:p>
          <w:p>
            <w:pPr>
              <w:snapToGrid w:val="0"/>
              <w:spacing w:line="288" w:lineRule="auto"/>
              <w:rPr>
                <w:rFonts w:ascii="Times New Roman" w:hAnsi="Times New Roman"/>
                <w:color w:val="auto"/>
                <w:sz w:val="20"/>
                <w:szCs w:val="20"/>
              </w:rPr>
            </w:pPr>
          </w:p>
        </w:tc>
        <w:tc>
          <w:tcPr>
            <w:tcW w:w="1421"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学生通过所学知识，结合自身的兴趣点进行数据分析报告选题，搜集数据资料，勾画草图，构造故事，确定数据与报告的逻辑关系。</w:t>
            </w:r>
          </w:p>
        </w:tc>
        <w:tc>
          <w:tcPr>
            <w:tcW w:w="1421" w:type="dxa"/>
            <w:vAlign w:val="center"/>
          </w:tcPr>
          <w:p>
            <w:pPr>
              <w:numPr>
                <w:ilvl w:val="0"/>
                <w:numId w:val="5"/>
              </w:numPr>
              <w:snapToGrid w:val="0"/>
              <w:spacing w:line="288" w:lineRule="auto"/>
              <w:rPr>
                <w:rFonts w:ascii="Times New Roman" w:hAnsi="Times New Roman"/>
                <w:color w:val="auto"/>
                <w:sz w:val="20"/>
                <w:szCs w:val="20"/>
              </w:rPr>
            </w:pPr>
            <w:r>
              <w:rPr>
                <w:rFonts w:ascii="Times New Roman" w:hAnsi="Times New Roman"/>
                <w:color w:val="auto"/>
                <w:sz w:val="20"/>
                <w:szCs w:val="20"/>
              </w:rPr>
              <w:t>课堂表现，无迟到早退、无故旷课现象，课堂秩序及互动良好；</w:t>
            </w:r>
          </w:p>
          <w:p>
            <w:pPr>
              <w:numPr>
                <w:ilvl w:val="0"/>
                <w:numId w:val="5"/>
              </w:numPr>
              <w:snapToGrid w:val="0"/>
              <w:spacing w:line="288" w:lineRule="auto"/>
              <w:rPr>
                <w:rFonts w:ascii="Times New Roman" w:hAnsi="Times New Roman"/>
                <w:color w:val="auto"/>
                <w:sz w:val="20"/>
                <w:szCs w:val="20"/>
              </w:rPr>
            </w:pPr>
            <w:r>
              <w:rPr>
                <w:rFonts w:ascii="Times New Roman" w:hAnsi="Times New Roman"/>
                <w:color w:val="auto"/>
                <w:sz w:val="20"/>
                <w:szCs w:val="20"/>
              </w:rPr>
              <w:t>数据分析报告选题合理，数据可得性强，数据分析报告具有较强的逻辑性。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6"/>
              </w:numPr>
              <w:snapToGrid w:val="0"/>
              <w:spacing w:line="288" w:lineRule="auto"/>
              <w:rPr>
                <w:rFonts w:ascii="Times New Roman" w:hAnsi="Times New Roman"/>
                <w:color w:val="auto"/>
                <w:sz w:val="20"/>
                <w:szCs w:val="20"/>
              </w:rPr>
            </w:pPr>
            <w:r>
              <w:rPr>
                <w:rFonts w:ascii="Times New Roman" w:hAnsi="Times New Roman"/>
                <w:color w:val="auto"/>
                <w:sz w:val="20"/>
                <w:szCs w:val="20"/>
              </w:rPr>
              <w:t>数据分析报告与作品讲评</w:t>
            </w:r>
          </w:p>
          <w:p>
            <w:pPr>
              <w:snapToGrid w:val="0"/>
              <w:spacing w:line="288" w:lineRule="auto"/>
              <w:rPr>
                <w:rFonts w:hint="eastAsia" w:ascii="Times New Roman" w:hAnsi="Times New Roman"/>
                <w:color w:val="auto"/>
                <w:sz w:val="20"/>
                <w:szCs w:val="20"/>
              </w:rPr>
            </w:pPr>
          </w:p>
          <w:p>
            <w:pPr>
              <w:snapToGrid w:val="0"/>
              <w:spacing w:line="288" w:lineRule="auto"/>
              <w:jc w:val="center"/>
              <w:rPr>
                <w:rFonts w:hint="eastAsia" w:ascii="Times New Roman" w:hAnsi="Times New Roman"/>
                <w:color w:val="auto"/>
                <w:sz w:val="20"/>
                <w:szCs w:val="20"/>
              </w:rPr>
            </w:pPr>
            <w:r>
              <w:rPr>
                <w:rFonts w:hint="eastAsia" w:ascii="Times New Roman" w:hAnsi="Times New Roman"/>
                <w:color w:val="auto"/>
                <w:sz w:val="20"/>
                <w:szCs w:val="20"/>
              </w:rPr>
              <w:t>理论课时：</w:t>
            </w:r>
            <w:r>
              <w:rPr>
                <w:rFonts w:ascii="Times New Roman" w:hAnsi="Times New Roman"/>
                <w:color w:val="auto"/>
                <w:sz w:val="20"/>
                <w:szCs w:val="20"/>
              </w:rPr>
              <w:t>8</w:t>
            </w:r>
          </w:p>
        </w:tc>
        <w:tc>
          <w:tcPr>
            <w:tcW w:w="1228"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（1）组织学生按小组进行数据分析报告汇报；</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（2）对汇报小组数据分析报告进行讲评；</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（3）组织其他小组学生就汇报小组的综合表现进行评价。</w:t>
            </w:r>
          </w:p>
        </w:tc>
        <w:tc>
          <w:tcPr>
            <w:tcW w:w="1612" w:type="dxa"/>
            <w:vAlign w:val="center"/>
          </w:tcPr>
          <w:p>
            <w:pPr>
              <w:snapToGrid w:val="0"/>
              <w:spacing w:line="288" w:lineRule="auto"/>
              <w:rPr>
                <w:rFonts w:ascii="Times New Roman" w:hAnsi="Times New Roman" w:eastAsiaTheme="minorEastAsia"/>
                <w:color w:val="auto"/>
                <w:sz w:val="20"/>
                <w:szCs w:val="20"/>
              </w:rPr>
            </w:pPr>
            <w:r>
              <w:rPr>
                <w:rFonts w:ascii="Times New Roman" w:hAnsi="Times New Roman"/>
                <w:color w:val="auto"/>
                <w:sz w:val="20"/>
                <w:szCs w:val="20"/>
              </w:rPr>
              <w:t>掌握资料展示与口头汇报的能力。</w:t>
            </w:r>
          </w:p>
        </w:tc>
        <w:tc>
          <w:tcPr>
            <w:tcW w:w="1420" w:type="dxa"/>
            <w:vAlign w:val="center"/>
          </w:tcPr>
          <w:p>
            <w:pPr>
              <w:snapToGrid w:val="0"/>
              <w:spacing w:line="288" w:lineRule="auto"/>
              <w:rPr>
                <w:rFonts w:ascii="Times New Roman" w:hAnsi="Times New Roman" w:eastAsiaTheme="minorEastAsia"/>
                <w:color w:val="auto"/>
                <w:sz w:val="20"/>
                <w:szCs w:val="20"/>
              </w:rPr>
            </w:pPr>
            <w:r>
              <w:rPr>
                <w:rFonts w:ascii="Times New Roman" w:hAnsi="Times New Roman"/>
                <w:color w:val="auto"/>
                <w:sz w:val="20"/>
                <w:szCs w:val="20"/>
              </w:rPr>
              <w:t xml:space="preserve"> 熟知数据分析报告的撰写流程。</w:t>
            </w:r>
          </w:p>
        </w:tc>
        <w:tc>
          <w:tcPr>
            <w:tcW w:w="1421" w:type="dxa"/>
            <w:vAlign w:val="center"/>
          </w:tcPr>
          <w:p>
            <w:pPr>
              <w:numPr>
                <w:ilvl w:val="0"/>
                <w:numId w:val="7"/>
              </w:numPr>
              <w:snapToGrid w:val="0"/>
              <w:spacing w:line="288" w:lineRule="auto"/>
              <w:rPr>
                <w:rFonts w:ascii="Times New Roman" w:hAnsi="Times New Roman"/>
                <w:color w:val="auto"/>
                <w:sz w:val="20"/>
                <w:szCs w:val="20"/>
              </w:rPr>
            </w:pPr>
            <w:r>
              <w:rPr>
                <w:rFonts w:ascii="Times New Roman" w:hAnsi="Times New Roman"/>
                <w:color w:val="auto"/>
                <w:sz w:val="20"/>
                <w:szCs w:val="20"/>
              </w:rPr>
              <w:t>学生按小组进行口头报告：结合PPT将数据分析报告进行汇报，对选题所需数据的采集、清理、分析及可视化操作进行汇报。</w:t>
            </w:r>
          </w:p>
          <w:p>
            <w:pPr>
              <w:numPr>
                <w:ilvl w:val="0"/>
                <w:numId w:val="7"/>
              </w:numPr>
              <w:snapToGrid w:val="0"/>
              <w:spacing w:line="288" w:lineRule="auto"/>
              <w:rPr>
                <w:rFonts w:ascii="Times New Roman" w:hAnsi="Times New Roman"/>
                <w:color w:val="auto"/>
                <w:sz w:val="20"/>
                <w:szCs w:val="20"/>
              </w:rPr>
            </w:pPr>
            <w:r>
              <w:rPr>
                <w:rFonts w:ascii="Times New Roman" w:hAnsi="Times New Roman"/>
                <w:color w:val="auto"/>
                <w:sz w:val="20"/>
                <w:szCs w:val="20"/>
              </w:rPr>
              <w:t>其他小组学生运用所学知识对汇报小组的选题汇报进行评价。</w:t>
            </w:r>
          </w:p>
        </w:tc>
        <w:tc>
          <w:tcPr>
            <w:tcW w:w="1421" w:type="dxa"/>
            <w:vAlign w:val="center"/>
          </w:tcPr>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整个报告清晰地围绕着选题进行展开；</w:t>
            </w:r>
          </w:p>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展示资料的完整性与美观性；</w:t>
            </w:r>
          </w:p>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注重口头汇报的语言艺术与表达效果。</w:t>
            </w:r>
          </w:p>
        </w:tc>
      </w:tr>
    </w:tbl>
    <w:p>
      <w:pPr>
        <w:snapToGrid w:val="0"/>
        <w:spacing w:line="288" w:lineRule="auto"/>
        <w:ind w:firstLine="402" w:firstLineChars="200"/>
        <w:rPr>
          <w:rFonts w:ascii="Times New Roman" w:hAnsi="Times New Roman"/>
          <w:b/>
          <w:bCs/>
          <w:sz w:val="20"/>
          <w:szCs w:val="20"/>
        </w:rPr>
      </w:pPr>
    </w:p>
    <w:p>
      <w:pPr>
        <w:snapToGrid w:val="0"/>
        <w:spacing w:line="288" w:lineRule="auto"/>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hint="eastAsia" w:ascii="Times New Roman" w:hAnsi="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eastAsia="宋体"/>
                <w:sz w:val="20"/>
                <w:szCs w:val="20"/>
                <w:lang w:eastAsia="zh-CN"/>
              </w:rPr>
            </w:pPr>
            <w:r>
              <w:rPr>
                <w:rFonts w:hint="eastAsia" w:ascii="Times New Roman" w:hAnsi="Times New Roman"/>
                <w:sz w:val="20"/>
                <w:szCs w:val="20"/>
                <w:lang w:eastAsia="zh-CN"/>
              </w:rPr>
              <w:t>八爪鱼采集器数据采集实验</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eastAsia="宋体"/>
                <w:sz w:val="20"/>
                <w:szCs w:val="20"/>
                <w:lang w:eastAsia="zh-CN"/>
              </w:rPr>
            </w:pPr>
            <w:r>
              <w:rPr>
                <w:rFonts w:hint="eastAsia" w:ascii="Times New Roman" w:hAnsi="Times New Roman"/>
                <w:sz w:val="20"/>
                <w:szCs w:val="20"/>
                <w:lang w:eastAsia="zh-CN"/>
              </w:rPr>
              <w:t>通过八爪鱼采集器采集网络数据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8</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hint="eastAsia" w:ascii="Times New Roman" w:hAnsi="Times New Roman" w:eastAsia="宋体"/>
                <w:sz w:val="20"/>
                <w:szCs w:val="20"/>
                <w:lang w:eastAsia="zh-CN"/>
              </w:rPr>
            </w:pPr>
            <w:r>
              <w:rPr>
                <w:rFonts w:hint="eastAsia" w:ascii="Times New Roman" w:hAnsi="Times New Roman"/>
                <w:sz w:val="20"/>
                <w:szCs w:val="20"/>
                <w:lang w:eastAsia="zh-CN"/>
              </w:rPr>
              <w:t>综合型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10853" w:type="dxa"/>
              <w:tblInd w:w="0" w:type="dxa"/>
              <w:tblLayout w:type="fixed"/>
              <w:tblCellMar>
                <w:top w:w="0" w:type="dxa"/>
                <w:left w:w="0" w:type="dxa"/>
                <w:bottom w:w="0" w:type="dxa"/>
                <w:right w:w="0" w:type="dxa"/>
              </w:tblCellMar>
            </w:tblPr>
            <w:tblGrid>
              <w:gridCol w:w="10853"/>
            </w:tblGrid>
            <w:tr>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8</w:t>
            </w:r>
            <w:bookmarkStart w:id="1" w:name="_GoBack"/>
            <w:bookmarkEnd w:id="1"/>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rPr>
          <w:rFonts w:hint="eastAsia" w:ascii="Times New Roman" w:hAnsi="Times New Roman" w:eastAsia="黑体"/>
          <w:sz w:val="24"/>
        </w:rPr>
      </w:pPr>
    </w:p>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tbl>
      <w:tblPr>
        <w:tblStyle w:val="5"/>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X</w:t>
            </w:r>
            <w:r>
              <w:rPr>
                <w:rFonts w:ascii="Times New Roman" w:hAnsi="Times New Roman"/>
                <w:bCs/>
                <w:color w:val="000000"/>
                <w:sz w:val="20"/>
                <w:szCs w:val="20"/>
              </w:rPr>
              <w:t>1</w:t>
            </w:r>
          </w:p>
        </w:tc>
        <w:tc>
          <w:tcPr>
            <w:tcW w:w="5103" w:type="dxa"/>
            <w:noWrap w:val="0"/>
            <w:vAlign w:val="top"/>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hint="eastAsia" w:ascii="Times New Roman" w:hAnsi="Times New Roman"/>
                <w:bCs/>
                <w:color w:val="000000"/>
                <w:sz w:val="20"/>
                <w:szCs w:val="20"/>
                <w:lang w:eastAsia="zh-CN"/>
              </w:rPr>
              <w:t>随堂测验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2</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X2</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课堂讨论</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X3</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数据分析报告</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50%</w:t>
            </w:r>
          </w:p>
        </w:tc>
      </w:tr>
    </w:tbl>
    <w:p>
      <w:pPr>
        <w:snapToGrid w:val="0"/>
        <w:spacing w:before="120" w:after="120" w:line="288" w:lineRule="auto"/>
        <w:ind w:firstLine="400" w:firstLineChars="200"/>
        <w:rPr>
          <w:rFonts w:ascii="Times New Roman" w:hAnsi="Times New Roman"/>
          <w:sz w:val="20"/>
          <w:szCs w:val="20"/>
        </w:rPr>
      </w:pPr>
    </w:p>
    <w:p>
      <w:pPr>
        <w:keepNext w:val="0"/>
        <w:keepLines w:val="0"/>
        <w:pageBreakBefore w:val="0"/>
        <w:numPr>
          <w:ilvl w:val="0"/>
          <w:numId w:val="9"/>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立足学科特色挖掘课程思政资源，推动社会主义核心价值观融入本课程，通过国内外经济新闻报道，帮助学生更好地理解社会主义核心价值观在现实的生活、学习与工作中的重要意义。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围绕新冠肺炎对中国经济的冲击，通过课程教学和课程作业帮助学生了解中国经济从宏观层面、中观层面和微观层面的影响，特别是掌握上市公司的经济数据分析，搜集相关数据和媒体报道，以小组为单位在课堂上进行发言、分享心得。（1）宏观经济维度：国民产出、通货膨胀、进出口、就业失业等；（2）中观经济维度：介于国家和企业之间的行业分析，如汽车行业；（3）微观经济维度：单个企业的运营分析报告，如从企业的财务层面、影响力层面、社会责任层面进行分析，也可以就企业内部的生产经营、销售投资等项目进行数据分析。</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Times New Roman"/>
          <w:sz w:val="20"/>
          <w:szCs w:val="20"/>
        </w:rPr>
      </w:pPr>
      <w:r>
        <w:rPr>
          <w:rFonts w:hint="eastAsia"/>
          <w:lang w:eastAsia="zh-CN"/>
        </w:rPr>
        <w:t>通过课堂分享，增强学生的国际视野、国家荣誉感、自豪感，坚定学生对社会主义制度的道路自信、文化自信、制度自信和理论自信。</w:t>
      </w:r>
    </w:p>
    <w:p>
      <w:pPr>
        <w:snapToGrid w:val="0"/>
        <w:spacing w:line="360" w:lineRule="auto"/>
        <w:rPr>
          <w:rFonts w:hint="eastAsia" w:ascii="Times New Roman" w:hAnsi="Times New Roman"/>
          <w:sz w:val="24"/>
          <w:szCs w:val="24"/>
          <w:lang w:val="en-US" w:eastAsia="zh-CN"/>
        </w:rPr>
      </w:pPr>
      <w:r>
        <w:rPr>
          <w:rFonts w:ascii="Times New Roman" w:hAnsi="Times New Roman"/>
          <w:sz w:val="24"/>
          <w:szCs w:val="24"/>
        </w:rPr>
        <w:t>撰写人：</w:t>
      </w:r>
      <w:r>
        <w:rPr>
          <w:rFonts w:ascii="Times New Roman" w:hAnsi="Times New Roman"/>
          <w:sz w:val="24"/>
          <w:szCs w:val="24"/>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hint="eastAsia" w:ascii="Times New Roman" w:hAnsi="Times New Roman"/>
          <w:sz w:val="24"/>
          <w:szCs w:val="24"/>
          <w:lang w:val="en-US" w:eastAsia="zh-CN"/>
        </w:rPr>
        <w:t xml:space="preserve">    </w:t>
      </w:r>
      <w:r>
        <w:rPr>
          <w:rFonts w:ascii="Times New Roman" w:hAnsi="Times New Roman"/>
          <w:sz w:val="24"/>
          <w:szCs w:val="24"/>
        </w:rPr>
        <w:t>系主任审核签名：</w:t>
      </w:r>
      <w:r>
        <w:rPr>
          <w:rFonts w:hint="eastAsia" w:ascii="Times New Roman" w:hAnsi="Times New Roman"/>
          <w:sz w:val="24"/>
          <w:szCs w:val="24"/>
          <w:lang w:val="en-US" w:eastAsia="zh-CN"/>
        </w:rPr>
        <w:drawing>
          <wp:inline distT="0" distB="0" distL="114300" distR="114300">
            <wp:extent cx="726440" cy="386080"/>
            <wp:effectExtent l="0" t="0" r="10160" b="8255"/>
            <wp:docPr id="4" name="图片 4" descr="微信图片_20191127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7135630"/>
                    <pic:cNvPicPr>
                      <a:picLocks noChangeAspect="1"/>
                    </pic:cNvPicPr>
                  </pic:nvPicPr>
                  <pic:blipFill>
                    <a:blip r:embed="rId6"/>
                    <a:stretch>
                      <a:fillRect/>
                    </a:stretch>
                  </pic:blipFill>
                  <pic:spPr>
                    <a:xfrm>
                      <a:off x="0" y="0"/>
                      <a:ext cx="726440" cy="386080"/>
                    </a:xfrm>
                    <a:prstGeom prst="rect">
                      <a:avLst/>
                    </a:prstGeom>
                  </pic:spPr>
                </pic:pic>
              </a:graphicData>
            </a:graphic>
          </wp:inline>
        </w:drawing>
      </w:r>
      <w:r>
        <w:rPr>
          <w:rFonts w:hint="eastAsia" w:ascii="Times New Roman" w:hAnsi="Times New Roman"/>
          <w:sz w:val="24"/>
          <w:szCs w:val="24"/>
          <w:lang w:val="en-US" w:eastAsia="zh-CN"/>
        </w:rPr>
        <w:t xml:space="preserve">     </w:t>
      </w:r>
    </w:p>
    <w:p>
      <w:pPr>
        <w:snapToGrid w:val="0"/>
        <w:spacing w:line="360" w:lineRule="auto"/>
        <w:ind w:firstLine="4320" w:firstLineChars="1800"/>
        <w:rPr>
          <w:rFonts w:ascii="Times New Roman" w:hAnsi="Times New Roman"/>
        </w:rPr>
      </w:pPr>
      <w:r>
        <w:rPr>
          <w:rFonts w:ascii="Times New Roman" w:hAnsi="Times New Roman"/>
          <w:sz w:val="24"/>
          <w:szCs w:val="24"/>
        </w:rPr>
        <w:t>审核时间：</w:t>
      </w:r>
      <w:r>
        <w:rPr>
          <w:rFonts w:ascii="Times New Roman" w:hAnsi="Times New Roman"/>
          <w:sz w:val="28"/>
          <w:szCs w:val="28"/>
        </w:rPr>
        <w:t xml:space="preserve"> </w:t>
      </w:r>
      <w:r>
        <w:rPr>
          <w:rFonts w:hint="eastAsia" w:ascii="Times New Roman" w:hAnsi="Times New Roman"/>
          <w:sz w:val="28"/>
          <w:szCs w:val="28"/>
          <w:lang w:val="en-US" w:eastAsia="zh-CN"/>
        </w:rPr>
        <w:t>2020.09</w:t>
      </w:r>
      <w:r>
        <w:rPr>
          <w:rFonts w:ascii="Times New Roman" w:hAnsi="Times New Roman"/>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485103CD"/>
    <w:multiLevelType w:val="singleLevel"/>
    <w:tmpl w:val="485103CD"/>
    <w:lvl w:ilvl="0" w:tentative="0">
      <w:start w:val="4"/>
      <w:numFmt w:val="chineseCounting"/>
      <w:suff w:val="nothing"/>
      <w:lvlText w:val="%1、"/>
      <w:lvlJc w:val="left"/>
      <w:rPr>
        <w:rFonts w:hint="eastAsia"/>
      </w:rPr>
    </w:lvl>
  </w:abstractNum>
  <w:abstractNum w:abstractNumId="2">
    <w:nsid w:val="59A3AD1B"/>
    <w:multiLevelType w:val="singleLevel"/>
    <w:tmpl w:val="59A3AD1B"/>
    <w:lvl w:ilvl="0" w:tentative="0">
      <w:start w:val="2"/>
      <w:numFmt w:val="decimal"/>
      <w:suff w:val="nothing"/>
      <w:lvlText w:val="%1、"/>
      <w:lvlJc w:val="left"/>
    </w:lvl>
  </w:abstractNum>
  <w:abstractNum w:abstractNumId="3">
    <w:nsid w:val="59A3AD30"/>
    <w:multiLevelType w:val="singleLevel"/>
    <w:tmpl w:val="59A3AD30"/>
    <w:lvl w:ilvl="0" w:tentative="0">
      <w:start w:val="1"/>
      <w:numFmt w:val="decimal"/>
      <w:suff w:val="nothing"/>
      <w:lvlText w:val="%1、"/>
      <w:lvlJc w:val="left"/>
    </w:lvl>
  </w:abstractNum>
  <w:abstractNum w:abstractNumId="4">
    <w:nsid w:val="59A3AFEB"/>
    <w:multiLevelType w:val="singleLevel"/>
    <w:tmpl w:val="59A3AFEB"/>
    <w:lvl w:ilvl="0" w:tentative="0">
      <w:start w:val="1"/>
      <w:numFmt w:val="decimal"/>
      <w:suff w:val="nothing"/>
      <w:lvlText w:val="（%1）"/>
      <w:lvlJc w:val="left"/>
    </w:lvl>
  </w:abstractNum>
  <w:abstractNum w:abstractNumId="5">
    <w:nsid w:val="59A3B27A"/>
    <w:multiLevelType w:val="singleLevel"/>
    <w:tmpl w:val="59A3B27A"/>
    <w:lvl w:ilvl="0" w:tentative="0">
      <w:start w:val="1"/>
      <w:numFmt w:val="decimal"/>
      <w:suff w:val="nothing"/>
      <w:lvlText w:val="（%1）"/>
      <w:lvlJc w:val="left"/>
    </w:lvl>
  </w:abstractNum>
  <w:abstractNum w:abstractNumId="6">
    <w:nsid w:val="59A3B77B"/>
    <w:multiLevelType w:val="singleLevel"/>
    <w:tmpl w:val="59A3B77B"/>
    <w:lvl w:ilvl="0" w:tentative="0">
      <w:start w:val="1"/>
      <w:numFmt w:val="decimal"/>
      <w:suff w:val="nothing"/>
      <w:lvlText w:val="（%1）"/>
      <w:lvlJc w:val="left"/>
    </w:lvl>
  </w:abstractNum>
  <w:abstractNum w:abstractNumId="7">
    <w:nsid w:val="59A3BF6F"/>
    <w:multiLevelType w:val="singleLevel"/>
    <w:tmpl w:val="59A3BF6F"/>
    <w:lvl w:ilvl="0" w:tentative="0">
      <w:start w:val="1"/>
      <w:numFmt w:val="decimal"/>
      <w:suff w:val="nothing"/>
      <w:lvlText w:val="（%1）"/>
      <w:lvlJc w:val="left"/>
    </w:lvl>
  </w:abstractNum>
  <w:abstractNum w:abstractNumId="8">
    <w:nsid w:val="59A3C525"/>
    <w:multiLevelType w:val="singleLevel"/>
    <w:tmpl w:val="59A3C525"/>
    <w:lvl w:ilvl="0" w:tentative="0">
      <w:start w:val="1"/>
      <w:numFmt w:val="decimal"/>
      <w:suff w:val="nothing"/>
      <w:lvlText w:val="（%1）"/>
      <w:lvlJc w:val="left"/>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A63B9"/>
    <w:rsid w:val="003B1258"/>
    <w:rsid w:val="003C1CC6"/>
    <w:rsid w:val="004100B0"/>
    <w:rsid w:val="005438E4"/>
    <w:rsid w:val="005467DC"/>
    <w:rsid w:val="00553D03"/>
    <w:rsid w:val="005B2B6D"/>
    <w:rsid w:val="005B4B4E"/>
    <w:rsid w:val="00624FE1"/>
    <w:rsid w:val="00693783"/>
    <w:rsid w:val="007208D6"/>
    <w:rsid w:val="008B397C"/>
    <w:rsid w:val="008B47F4"/>
    <w:rsid w:val="00900019"/>
    <w:rsid w:val="0099063E"/>
    <w:rsid w:val="00A769B1"/>
    <w:rsid w:val="00AC4C45"/>
    <w:rsid w:val="00AF3314"/>
    <w:rsid w:val="00B46F21"/>
    <w:rsid w:val="00B511A5"/>
    <w:rsid w:val="00B736A7"/>
    <w:rsid w:val="00B7651F"/>
    <w:rsid w:val="00C56E09"/>
    <w:rsid w:val="00CF096B"/>
    <w:rsid w:val="00E16D30"/>
    <w:rsid w:val="00E33169"/>
    <w:rsid w:val="00E70904"/>
    <w:rsid w:val="00EF44B1"/>
    <w:rsid w:val="00F35AA0"/>
    <w:rsid w:val="024B0C39"/>
    <w:rsid w:val="024D5C2B"/>
    <w:rsid w:val="03ED0165"/>
    <w:rsid w:val="05B665C5"/>
    <w:rsid w:val="0A8128A6"/>
    <w:rsid w:val="0BF32A1B"/>
    <w:rsid w:val="10BD2C22"/>
    <w:rsid w:val="13F77283"/>
    <w:rsid w:val="141668ED"/>
    <w:rsid w:val="15C11807"/>
    <w:rsid w:val="1A451EE9"/>
    <w:rsid w:val="1AB6091A"/>
    <w:rsid w:val="1E3A4C9E"/>
    <w:rsid w:val="212A6243"/>
    <w:rsid w:val="21715CDF"/>
    <w:rsid w:val="221539C3"/>
    <w:rsid w:val="2283312A"/>
    <w:rsid w:val="22987C80"/>
    <w:rsid w:val="24192CCC"/>
    <w:rsid w:val="24371CA8"/>
    <w:rsid w:val="277B2677"/>
    <w:rsid w:val="2CD77134"/>
    <w:rsid w:val="2EF120B2"/>
    <w:rsid w:val="2EF83453"/>
    <w:rsid w:val="30047F3F"/>
    <w:rsid w:val="303B1AF2"/>
    <w:rsid w:val="30B26C0A"/>
    <w:rsid w:val="31455B85"/>
    <w:rsid w:val="32076AC6"/>
    <w:rsid w:val="325A31AE"/>
    <w:rsid w:val="353A5FEE"/>
    <w:rsid w:val="36126701"/>
    <w:rsid w:val="375C7C6A"/>
    <w:rsid w:val="39A66CD4"/>
    <w:rsid w:val="3A074F28"/>
    <w:rsid w:val="3C2D3E34"/>
    <w:rsid w:val="3CD52CE1"/>
    <w:rsid w:val="3F8866C8"/>
    <w:rsid w:val="410F2E6A"/>
    <w:rsid w:val="418E12AA"/>
    <w:rsid w:val="4430136C"/>
    <w:rsid w:val="46AD09F8"/>
    <w:rsid w:val="46C75C4B"/>
    <w:rsid w:val="4727020B"/>
    <w:rsid w:val="482D70E7"/>
    <w:rsid w:val="48590BFA"/>
    <w:rsid w:val="48B13CAB"/>
    <w:rsid w:val="4A82782B"/>
    <w:rsid w:val="4AB0382B"/>
    <w:rsid w:val="506D59A3"/>
    <w:rsid w:val="526F29C6"/>
    <w:rsid w:val="52DC63F0"/>
    <w:rsid w:val="569868B5"/>
    <w:rsid w:val="57210CF4"/>
    <w:rsid w:val="586E0797"/>
    <w:rsid w:val="5B521F9B"/>
    <w:rsid w:val="5FAE14D5"/>
    <w:rsid w:val="611F6817"/>
    <w:rsid w:val="64BB7356"/>
    <w:rsid w:val="66CA1754"/>
    <w:rsid w:val="6AC14A4F"/>
    <w:rsid w:val="6DB05CE7"/>
    <w:rsid w:val="6F1E65D4"/>
    <w:rsid w:val="6F266C86"/>
    <w:rsid w:val="6F5042C2"/>
    <w:rsid w:val="70C85002"/>
    <w:rsid w:val="74316312"/>
    <w:rsid w:val="74B87D81"/>
    <w:rsid w:val="75B8227D"/>
    <w:rsid w:val="780F13C8"/>
    <w:rsid w:val="7A473158"/>
    <w:rsid w:val="7C385448"/>
    <w:rsid w:val="7EEB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2915</Characters>
  <Lines>24</Lines>
  <Paragraphs>6</Paragraphs>
  <TotalTime>0</TotalTime>
  <ScaleCrop>false</ScaleCrop>
  <LinksUpToDate>false</LinksUpToDate>
  <CharactersWithSpaces>3420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2019-08-31T02:30:00Z</cp:lastPrinted>
  <dcterms:modified xsi:type="dcterms:W3CDTF">2020-09-15T05:00:19Z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