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Bidi" w:hAnsiTheme="majorBidi" w:cstheme="majorBidi"/>
          <w:bCs/>
          <w:kern w:val="0"/>
          <w:szCs w:val="21"/>
        </w:rPr>
      </w:pPr>
      <w:r>
        <w:rPr>
          <w:rFonts w:asciiTheme="majorBidi" w:hAnsiTheme="majorBidi" w:cstheme="majorBidi"/>
        </w:rP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asciiTheme="majorBidi" w:hAnsiTheme="majorBidi" w:eastAsiaTheme="minorEastAsia" w:cstheme="majorBidi"/>
          <w:bCs/>
          <w:kern w:val="0"/>
          <w:sz w:val="40"/>
          <w:szCs w:val="40"/>
        </w:rPr>
        <w:t>《传播伦理与法规》课程</w:t>
      </w:r>
      <w:r>
        <w:rPr>
          <w:rFonts w:hint="eastAsia" w:ascii="宋体" w:hAnsi="宋体" w:cs="宋体"/>
          <w:bCs/>
          <w:kern w:val="0"/>
          <w:sz w:val="40"/>
          <w:szCs w:val="40"/>
        </w:rPr>
        <w:t>教学大纲</w:t>
      </w:r>
    </w:p>
    <w:p>
      <w:pPr>
        <w:shd w:val="clear" w:color="auto" w:fill="F5F5F5"/>
        <w:spacing w:line="360" w:lineRule="auto"/>
        <w:jc w:val="center"/>
        <w:textAlignment w:val="top"/>
        <w:rPr>
          <w:rFonts w:asciiTheme="majorBidi" w:hAnsiTheme="majorBidi" w:cstheme="majorBidi"/>
          <w:color w:val="888888"/>
          <w:kern w:val="0"/>
          <w:sz w:val="20"/>
          <w:szCs w:val="20"/>
        </w:rPr>
      </w:pPr>
      <w:r>
        <w:rPr>
          <w:rFonts w:asciiTheme="majorBidi" w:hAnsiTheme="majorBidi" w:cstheme="majorBidi"/>
          <w:b/>
          <w:sz w:val="28"/>
          <w:szCs w:val="30"/>
        </w:rPr>
        <w:t>【Ethics and Laws of Media】</w:t>
      </w:r>
      <w:bookmarkStart w:id="0" w:name="a2"/>
      <w:bookmarkEnd w:id="0"/>
    </w:p>
    <w:p>
      <w:pPr>
        <w:spacing w:beforeLines="50" w:afterLines="50" w:line="360" w:lineRule="auto"/>
        <w:ind w:firstLine="360" w:firstLineChars="150"/>
        <w:rPr>
          <w:rFonts w:asciiTheme="majorBidi" w:hAnsiTheme="majorBidi" w:cstheme="majorBidi"/>
          <w:b/>
          <w:color w:val="008080"/>
          <w:sz w:val="30"/>
          <w:szCs w:val="30"/>
        </w:rPr>
      </w:pPr>
      <w:r>
        <w:rPr>
          <w:rFonts w:eastAsia="黑体" w:asciiTheme="majorBidi" w:hAnsiTheme="majorBidi" w:cstheme="majorBidi"/>
          <w:sz w:val="24"/>
        </w:rPr>
        <w:t>一、基本信息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课程代码：</w:t>
      </w:r>
      <w:r>
        <w:rPr>
          <w:rFonts w:asciiTheme="majorBidi" w:hAnsiTheme="majorBidi" w:cstheme="majorBidi"/>
          <w:color w:val="000000"/>
          <w:sz w:val="20"/>
          <w:szCs w:val="20"/>
        </w:rPr>
        <w:t>【2030277】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课程学分：</w:t>
      </w:r>
      <w:r>
        <w:rPr>
          <w:rFonts w:asciiTheme="majorBidi" w:hAnsiTheme="majorBidi" w:cstheme="majorBidi"/>
          <w:color w:val="000000"/>
          <w:sz w:val="20"/>
          <w:szCs w:val="20"/>
        </w:rPr>
        <w:t>【2】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面向专业：</w:t>
      </w:r>
      <w:r>
        <w:rPr>
          <w:rFonts w:asciiTheme="majorBidi" w:hAnsiTheme="majorBidi" w:cstheme="majorBidi"/>
          <w:color w:val="000000"/>
          <w:sz w:val="20"/>
          <w:szCs w:val="20"/>
        </w:rPr>
        <w:t>【1</w:t>
      </w:r>
      <w:r>
        <w:rPr>
          <w:rFonts w:hint="eastAsia" w:asciiTheme="majorBidi" w:hAnsiTheme="majorBidi" w:cstheme="majorBidi"/>
          <w:color w:val="000000"/>
          <w:sz w:val="20"/>
          <w:szCs w:val="20"/>
          <w:lang w:val="en-US" w:eastAsia="zh-CN"/>
        </w:rPr>
        <w:t>8</w:t>
      </w:r>
      <w:r>
        <w:rPr>
          <w:rFonts w:asciiTheme="majorBidi" w:hAnsiTheme="majorBidi" w:cstheme="majorBidi"/>
          <w:color w:val="000000"/>
          <w:sz w:val="20"/>
          <w:szCs w:val="20"/>
        </w:rPr>
        <w:t>级传播】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课程性质：</w:t>
      </w:r>
      <w:r>
        <w:rPr>
          <w:rFonts w:asciiTheme="majorBidi" w:hAnsiTheme="majorBidi" w:cstheme="majorBidi"/>
          <w:color w:val="000000"/>
          <w:sz w:val="20"/>
          <w:szCs w:val="20"/>
        </w:rPr>
        <w:t>专业必修课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b/>
          <w:bCs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开课院系：新闻传播学院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教材：【《新闻传播法规与职业道德教程》，黄瑚主编，复旦大学出版社，最新版】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参考书目【1.《新闻记者培训教材》，柳斌杰主编，人民出版社，最新版】</w:t>
      </w:r>
    </w:p>
    <w:p>
      <w:pPr>
        <w:snapToGrid w:val="0"/>
        <w:spacing w:line="360" w:lineRule="auto"/>
        <w:ind w:firstLine="700" w:firstLineChars="35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【2.《新闻传播伦理与法规教程》，陈绚著，中国传媒大学出版社，最新版】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【3.《新闻伦理与法规》，罗彬著，北京师范大学出版社，最新版】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【4.《网络传播法导论》，邵国松著，中国人民大学出版社，2017年版】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https://elearning.gench.edu.cn:8443/webapps/blackboard/execute/modulepage/view?course_id=_10426_1&amp;cmp_tab_id=_11106_1&amp;editMode=true&amp;mode=cpview</w:t>
      </w:r>
    </w:p>
    <w:p>
      <w:pPr>
        <w:spacing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先修课程：</w:t>
      </w:r>
      <w:r>
        <w:rPr>
          <w:rFonts w:asciiTheme="majorBidi" w:hAnsiTheme="majorBidi" w:cstheme="majorBidi"/>
          <w:color w:val="000000"/>
          <w:sz w:val="20"/>
          <w:szCs w:val="20"/>
        </w:rPr>
        <w:t>【思想道德修养与法律基础 2110014 学分3分】</w:t>
      </w:r>
    </w:p>
    <w:p>
      <w:pPr>
        <w:adjustRightInd w:val="0"/>
        <w:snapToGrid w:val="0"/>
        <w:spacing w:beforeLines="50" w:afterLines="50" w:line="360" w:lineRule="auto"/>
        <w:ind w:firstLine="348" w:firstLineChars="145"/>
        <w:rPr>
          <w:rFonts w:asciiTheme="majorBidi" w:hAnsiTheme="majorBidi" w:cstheme="majorBidi"/>
          <w:b/>
          <w:color w:val="000000"/>
          <w:sz w:val="24"/>
          <w:szCs w:val="20"/>
        </w:rPr>
      </w:pPr>
      <w:r>
        <w:rPr>
          <w:rFonts w:eastAsia="黑体" w:asciiTheme="majorBidi" w:hAnsiTheme="majorBidi" w:cstheme="majorBidi"/>
          <w:sz w:val="24"/>
        </w:rPr>
        <w:t>二、课程简介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本课程的研究对象为传播伦理与法规，即新闻传播工作者应遵守的职业道德和法律规范。作为一个专业新闻人，职业道德体现在他的每一个工作环节里：无论是新闻采访、网络编辑、广告创意还是市场策划。本课程将针对上述环节中新闻传播从业者会碰到的问题，从媒体与政府、新闻道德与法律法规、记者与采访对象、新闻报道的社会效果、新闻记者的角色冲突、新媒体时代的新闻记者职业道德素质要求等专题入手，结合近年社会影响力较大的案例，通过课堂讲解、学生讨论、学生开展小规模调查实践、法庭旁听及庭审新闻稿采写等方式，让学生掌握传播行为的判断标准，正确看待媒体特别是新媒体为社会带来的正面和负面影响，具备传播从业者的基本伦理与法律规范知识，提高职业道德修养和法律意识。</w:t>
      </w:r>
    </w:p>
    <w:p>
      <w:pPr>
        <w:widowControl/>
        <w:spacing w:beforeLines="50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三、选课建议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本课程是传播专业的专业必修课程之一。建议在二年级或三年级开设。学生在修本课程前，已通过传播学概论、新闻学概论等课程，对本专业的基础理论有一定程度的掌握。而在本课程之后，学生将参加社会实践和实习。在理论学习基本结束、实践课程即将开始之前开设课程，能帮助学生强化对新闻职业道德和法规的基本认知，提高专业素质，为社会实践做好准备。</w:t>
      </w:r>
    </w:p>
    <w:p>
      <w:pPr>
        <w:widowControl/>
        <w:spacing w:beforeLines="50" w:afterLines="50" w:line="360" w:lineRule="auto"/>
        <w:ind w:firstLine="480" w:firstLineChars="20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四、课程与专业毕业要求的关联性</w:t>
      </w:r>
    </w:p>
    <w:tbl>
      <w:tblPr>
        <w:tblStyle w:val="4"/>
        <w:tblW w:w="906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90"/>
        <w:gridCol w:w="6685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黑体" w:asciiTheme="majorBidi" w:hAnsiTheme="majorBidi" w:cstheme="maj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黑体" w:asciiTheme="majorBidi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6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6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7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00" w:firstLineChars="50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7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7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7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L035</w:t>
            </w:r>
          </w:p>
        </w:tc>
        <w:tc>
          <w:tcPr>
            <w:tcW w:w="7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00" w:firstLineChars="50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00" w:firstLineChars="50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>
      <w:pPr>
        <w:widowControl/>
        <w:spacing w:beforeLines="50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五、课程目标/课程预期学习成果</w:t>
      </w:r>
    </w:p>
    <w:tbl>
      <w:tblPr>
        <w:tblStyle w:val="4"/>
        <w:tblpPr w:leftFromText="180" w:rightFromText="180" w:vertAnchor="text" w:horzAnchor="page" w:tblpX="1987" w:tblpY="152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75"/>
        <w:gridCol w:w="2900"/>
        <w:gridCol w:w="2126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课程预期</w:t>
            </w:r>
          </w:p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学习成果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  <w:highlight w:val="yellow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课程目标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掌握传播学的核心理论、基本知识。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讲授法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案例教学法</w:t>
            </w:r>
          </w:p>
        </w:tc>
        <w:tc>
          <w:tcPr>
            <w:tcW w:w="2019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作业、提问、PPT展示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2900" w:type="dxa"/>
            <w:shd w:val="clear" w:color="auto" w:fill="auto"/>
          </w:tcPr>
          <w:p>
            <w:pPr>
              <w:spacing w:line="360" w:lineRule="auto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能够在团队合作中主动遵纪守法：遵守校纪校规，具备法律意识。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真实情境教学法</w:t>
            </w:r>
          </w:p>
        </w:tc>
        <w:tc>
          <w:tcPr>
            <w:tcW w:w="2019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法庭旁听小结评价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L</w:t>
            </w: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O413</w:t>
            </w:r>
          </w:p>
        </w:tc>
        <w:tc>
          <w:tcPr>
            <w:tcW w:w="2900" w:type="dxa"/>
            <w:shd w:val="clear" w:color="auto" w:fill="auto"/>
          </w:tcPr>
          <w:p>
            <w:pPr>
              <w:spacing w:line="360" w:lineRule="auto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讲授法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案例教学法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真实情境教学法</w:t>
            </w:r>
          </w:p>
        </w:tc>
        <w:tc>
          <w:tcPr>
            <w:tcW w:w="2019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小组作业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法庭旁听小结评价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2900" w:type="dxa"/>
            <w:shd w:val="clear" w:color="auto" w:fill="auto"/>
          </w:tcPr>
          <w:p>
            <w:pPr>
              <w:spacing w:line="360" w:lineRule="auto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奉献社会：具有服务企业、服务社会的意愿和行为能力。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案例分析法、情景展示法</w:t>
            </w:r>
          </w:p>
        </w:tc>
        <w:tc>
          <w:tcPr>
            <w:tcW w:w="2019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综合评价</w:t>
            </w:r>
          </w:p>
        </w:tc>
      </w:tr>
    </w:tbl>
    <w:p>
      <w:pPr>
        <w:snapToGrid w:val="0"/>
        <w:spacing w:line="360" w:lineRule="auto"/>
        <w:ind w:left="420" w:leftChars="200"/>
        <w:rPr>
          <w:rFonts w:eastAsia="黑体" w:asciiTheme="majorBidi" w:hAnsiTheme="majorBidi" w:cstheme="majorBidi"/>
          <w:sz w:val="24"/>
        </w:rPr>
      </w:pPr>
    </w:p>
    <w:p>
      <w:pPr>
        <w:widowControl/>
        <w:spacing w:beforeLines="50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六、课程内容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专题一绪论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通过本专题的学习，应当理解“伦理”、“道德”、“传播法规”的基本概念以及本课程的研究对象与基本任务，知道本课程的学科性质和学习要求；掌握学习本课程的方法。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专题二新闻传播道德自律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通过本专题的学习，应当理解新闻伦理失范行为的表现、危害、产生的原因及该如何对其进行防范，形成良好的新闻伦理观。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专题三新闻传播与宪法、国家安全、社会秩序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通过本专题的学习，应当理解宪法对言论出版自由，以及对媒体及公民的批评建议权和监督权的保护和规定；了解我国法律法规对新闻媒体维护国家安全的规定；了解新闻传播扰乱社会秩序的情形和防范。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专题四新闻传播与司法公正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通过本专题的学习，应当理解新闻传播与司法独立的关系；了解“媒体审判”的概念及防范；掌握法律对新闻传播监督司法活动的保障与限制。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专题五新闻传播与人格权（一）：名誉权、隐私权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通过本专题的学习，应当理解人格权的概念和内容，新闻传播侵犯人格权行为的构成要件；理解名誉权和隐私权的概念，新闻传播侵犯名誉权、隐私权的行为表现及防范。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专题六新闻传播与人格权（二）：姓名权、荣誉权、侵权责任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通过本专题的学习，应当理解姓名权和荣誉权的概念，新闻传播侵犯姓名权、荣誉权的行为表现及防范。理解新闻传播侵犯人格权的侵权责任和救济措施。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专题七新闻传播与著作权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通过本专题的学习，应当理解著作权的概念和内容，新闻传播侵犯著作权的行为表现及法律责任；了解网络服务提供者的法律风险防范措施。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专题八新闻传播与程序法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通过本专题的学习，应当理解刑事诉讼法、民事诉讼法和行政诉讼法与新闻传播活动有关的规定，了解相关的行为规范。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专题九对发布特殊新闻和信息的行政管理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通过本专题的学习，应当了解我国对重要政务信息、突发事件信息、证券期货信息、气象预报信息，及地图信息的发布及传播的规定。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专题十对新闻事业的行政管理</w:t>
      </w:r>
    </w:p>
    <w:p>
      <w:pPr>
        <w:snapToGri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通过本专题的学习，应当理解我国对新闻事业进行行政管理的职能部门及其职责；了解我国对报纸期刊、广播电视、互联网等方面的具体行政管理规定。</w:t>
      </w:r>
    </w:p>
    <w:p>
      <w:pPr>
        <w:widowControl/>
        <w:spacing w:beforeLines="50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七、课内实验名称及基本要求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4252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各阶段名称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实践主要内容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天数/周数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法庭旁听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一般要求：体验式学习，取得课程学习的第一手资料，完成法庭旁听小结；</w:t>
            </w:r>
          </w:p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提高性要求（不作强制性规定）：撰写法庭旁听新闻稿；采访法官并完成采访稿件。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4节课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</w:tr>
    </w:tbl>
    <w:p>
      <w:pPr>
        <w:snapToGrid w:val="0"/>
        <w:spacing w:line="360" w:lineRule="auto"/>
        <w:ind w:right="2520"/>
        <w:rPr>
          <w:rFonts w:eastAsia="黑体" w:asciiTheme="majorBidi" w:hAnsiTheme="majorBidi" w:cstheme="majorBidi"/>
          <w:sz w:val="24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总评构成（</w:t>
            </w:r>
            <w:r>
              <w:rPr>
                <w:rFonts w:hint="eastAsia" w:asciiTheme="majorBidi" w:hAnsiTheme="majorBidi" w:cstheme="majorBidi"/>
                <w:bCs/>
                <w:color w:val="000000"/>
                <w:szCs w:val="20"/>
              </w:rPr>
              <w:t>1+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期末</w:t>
            </w:r>
            <w:r>
              <w:rPr>
                <w:rFonts w:hint="eastAsia" w:asciiTheme="majorBidi" w:hAnsiTheme="majorBidi" w:cstheme="majorBidi"/>
                <w:bCs/>
                <w:color w:val="000000"/>
                <w:szCs w:val="20"/>
              </w:rPr>
              <w:t>纸笔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作业及课堂互动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小组大作业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法庭旁听成果评价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</w:tbl>
    <w:p>
      <w:pPr>
        <w:snapToGrid w:val="0"/>
        <w:spacing w:line="360" w:lineRule="auto"/>
        <w:ind w:right="2520" w:firstLine="480" w:firstLineChars="200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八、评价方式与成绩</w:t>
      </w:r>
    </w:p>
    <w:p>
      <w:pPr>
        <w:snapToGrid w:val="0"/>
        <w:spacing w:line="360" w:lineRule="auto"/>
        <w:ind w:right="2520" w:firstLine="400" w:firstLineChars="200"/>
        <w:rPr>
          <w:rFonts w:asciiTheme="majorBidi" w:hAnsiTheme="majorBidi" w:cstheme="majorBidi"/>
          <w:sz w:val="20"/>
          <w:szCs w:val="20"/>
        </w:rPr>
      </w:pPr>
    </w:p>
    <w:p>
      <w:pPr>
        <w:snapToGrid w:val="0"/>
        <w:spacing w:before="120" w:after="120" w:line="360" w:lineRule="auto"/>
        <w:rPr>
          <w:rFonts w:asciiTheme="majorBidi" w:hAnsiTheme="majorBidi" w:cstheme="majorBidi"/>
          <w:sz w:val="20"/>
          <w:szCs w:val="20"/>
          <w:highlight w:val="yellow"/>
        </w:rPr>
      </w:pPr>
    </w:p>
    <w:p>
      <w:pPr>
        <w:snapToGrid w:val="0"/>
        <w:spacing w:line="360" w:lineRule="auto"/>
        <w:ind w:firstLine="720" w:firstLineChars="3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撰写人：徐磊系主任审核签名：沈慧萍</w:t>
      </w:r>
    </w:p>
    <w:p>
      <w:pPr>
        <w:snapToGrid w:val="0"/>
        <w:spacing w:line="360" w:lineRule="auto"/>
        <w:ind w:firstLine="720" w:firstLineChars="3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审核时间：20</w:t>
      </w:r>
      <w:r>
        <w:rPr>
          <w:rFonts w:hint="eastAsia" w:asciiTheme="majorBidi" w:hAnsiTheme="majorBidi" w:cstheme="majorBidi"/>
          <w:sz w:val="24"/>
          <w:szCs w:val="24"/>
          <w:lang w:val="en-US" w:eastAsia="zh-CN"/>
        </w:rPr>
        <w:t>21</w:t>
      </w:r>
      <w:r>
        <w:rPr>
          <w:rFonts w:hint="eastAsia" w:asciiTheme="majorBidi" w:hAnsiTheme="majorBidi" w:cstheme="majorBidi"/>
          <w:sz w:val="24"/>
          <w:szCs w:val="24"/>
        </w:rPr>
        <w:t>.3</w:t>
      </w:r>
    </w:p>
    <w:p>
      <w:pPr>
        <w:spacing w:line="360" w:lineRule="auto"/>
        <w:jc w:val="center"/>
        <w:rPr>
          <w:rFonts w:asciiTheme="majorBidi" w:hAnsiTheme="majorBidi" w:cstheme="majorBidi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0846"/>
    <w:rsid w:val="001072BC"/>
    <w:rsid w:val="001A3E02"/>
    <w:rsid w:val="00256B39"/>
    <w:rsid w:val="0026033C"/>
    <w:rsid w:val="0029506E"/>
    <w:rsid w:val="002E3721"/>
    <w:rsid w:val="00313BBA"/>
    <w:rsid w:val="0032602E"/>
    <w:rsid w:val="003367AE"/>
    <w:rsid w:val="00346957"/>
    <w:rsid w:val="00393F61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9B4AC0"/>
    <w:rsid w:val="009F771F"/>
    <w:rsid w:val="00A769B1"/>
    <w:rsid w:val="00A837D5"/>
    <w:rsid w:val="00AC4C45"/>
    <w:rsid w:val="00B46A36"/>
    <w:rsid w:val="00B46F21"/>
    <w:rsid w:val="00B511A5"/>
    <w:rsid w:val="00B736A7"/>
    <w:rsid w:val="00B7651F"/>
    <w:rsid w:val="00BF7E25"/>
    <w:rsid w:val="00C368AF"/>
    <w:rsid w:val="00C50D23"/>
    <w:rsid w:val="00C56E09"/>
    <w:rsid w:val="00C76FB7"/>
    <w:rsid w:val="00CF096B"/>
    <w:rsid w:val="00E16D30"/>
    <w:rsid w:val="00E33169"/>
    <w:rsid w:val="00E63282"/>
    <w:rsid w:val="00E70904"/>
    <w:rsid w:val="00EC2A8E"/>
    <w:rsid w:val="00EE3D5B"/>
    <w:rsid w:val="00EF44B1"/>
    <w:rsid w:val="00F35AA0"/>
    <w:rsid w:val="016E63C2"/>
    <w:rsid w:val="024B0C39"/>
    <w:rsid w:val="0A8128A6"/>
    <w:rsid w:val="0BF32A1B"/>
    <w:rsid w:val="10BD2C22"/>
    <w:rsid w:val="1C550633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513</Words>
  <Characters>2928</Characters>
  <Lines>24</Lines>
  <Paragraphs>6</Paragraphs>
  <TotalTime>1</TotalTime>
  <ScaleCrop>false</ScaleCrop>
  <LinksUpToDate>false</LinksUpToDate>
  <CharactersWithSpaces>3435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2018-03-10T10:59:00Z</dcterms:created>
  <dc:creator>juvg</dc:creator>
  <cp:lastModifiedBy>DAWN</cp:lastModifiedBy>
  <dcterms:modified xsi:type="dcterms:W3CDTF">2021-03-05T04:10:36Z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