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345157894"/>
      <w:bookmarkStart w:id="1" w:name="_Toc17718"/>
      <w:r>
        <mc:AlternateContent>
          <mc:Choice Requires="wps">
            <w:drawing>
              <wp:anchor distT="0" distB="0" distL="114300" distR="114300" simplePos="0" relativeHeight="251659264" behindDoc="0" locked="0" layoutInCell="1" allowOverlap="1">
                <wp:simplePos x="0" y="0"/>
                <wp:positionH relativeFrom="page">
                  <wp:posOffset>461010</wp:posOffset>
                </wp:positionH>
                <wp:positionV relativeFrom="page">
                  <wp:posOffset>213360</wp:posOffset>
                </wp:positionV>
                <wp:extent cx="2703830" cy="417830"/>
                <wp:effectExtent l="0" t="0" r="1270" b="1270"/>
                <wp:wrapThrough wrapText="bothSides">
                  <wp:wrapPolygon>
                    <wp:start x="0" y="0"/>
                    <wp:lineTo x="0" y="20681"/>
                    <wp:lineTo x="21458" y="20681"/>
                    <wp:lineTo x="21458" y="0"/>
                    <wp:lineTo x="0" y="0"/>
                  </wp:wrapPolygon>
                </wp:wrapThrough>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03830" cy="417830"/>
                        </a:xfrm>
                        <a:prstGeom prst="rect">
                          <a:avLst/>
                        </a:prstGeom>
                        <a:solidFill>
                          <a:srgbClr val="FFFFFF"/>
                        </a:solidFill>
                        <a:ln>
                          <a:noFill/>
                        </a:ln>
                      </wps:spPr>
                      <wps:txbx>
                        <w:txbxContent>
                          <w:p>
                            <w:pPr>
                              <w:ind w:left="560" w:hanging="560"/>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pt;margin-top:16.8pt;height:32.9pt;width:212.9pt;mso-position-horizontal-relative:page;mso-position-vertical-relative:page;mso-wrap-distance-left:9pt;mso-wrap-distance-right:9pt;z-index:251659264;mso-width-relative:page;mso-height-relative:page;" fillcolor="#FFFFFF" filled="t" stroked="f" coordsize="21600,21600" wrapcoords="0 0 0 20681 21458 20681 21458 0 0 0" o:gfxdata="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FpDo1wAAAAgBAAAPAAAAAAAAAAEAIAAA&#10;ACIAAABkcnMvZG93bnJldi54bWxQSwECFAAUAAAACACHTuJAT1bqTg0CAADwAwAADgAAAAAAAAAB&#10;ACAAAAAmAQAAZHJzL2Uyb0RvYy54bWxQSwUGAAAAAAYABgBZAQAApQUAAAAA&#10;">
                <v:fill on="t" focussize="0,0"/>
                <v:stroke on="f"/>
                <v:imagedata o:title=""/>
                <o:lock v:ext="edit" aspectratio="f"/>
                <v:textbox>
                  <w:txbxContent>
                    <w:p>
                      <w:pPr>
                        <w:ind w:left="560" w:hanging="560"/>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v:textbox>
                <w10:wrap type="through"/>
              </v:shape>
            </w:pict>
          </mc:Fallback>
        </mc:AlternateContent>
      </w:r>
      <w:r>
        <w:t xml:space="preserve"> 【</w:t>
      </w:r>
      <w:r>
        <w:rPr>
          <w:rFonts w:hint="eastAsia"/>
        </w:rPr>
        <w:t>会计基础</w:t>
      </w:r>
      <w:r>
        <w:t>】</w:t>
      </w:r>
      <w:bookmarkEnd w:id="0"/>
      <w:bookmarkEnd w:id="1"/>
    </w:p>
    <w:p>
      <w:pPr>
        <w:shd w:val="clear" w:color="auto" w:fill="F5F5F5"/>
        <w:ind w:left="562" w:hanging="562"/>
        <w:jc w:val="center"/>
        <w:textAlignment w:val="top"/>
        <w:rPr>
          <w:rFonts w:ascii="Times New Roman" w:hAnsi="Times New Roman" w:eastAsia="宋体" w:cs="Times New Roman"/>
          <w:b/>
          <w:sz w:val="28"/>
          <w:szCs w:val="30"/>
        </w:rPr>
      </w:pPr>
      <w:r>
        <w:rPr>
          <w:rFonts w:ascii="Times New Roman" w:hAnsi="Times New Roman" w:eastAsia="宋体" w:cs="Times New Roman"/>
          <w:b/>
          <w:sz w:val="28"/>
          <w:szCs w:val="30"/>
        </w:rPr>
        <w:t>【Accounting Principles】</w:t>
      </w:r>
    </w:p>
    <w:p>
      <w:pPr>
        <w:widowControl/>
        <w:spacing w:before="156" w:beforeLines="50" w:after="156" w:afterLines="50" w:line="288" w:lineRule="auto"/>
        <w:ind w:firstLine="360" w:firstLineChars="150"/>
        <w:jc w:val="left"/>
        <w:rPr>
          <w:rFonts w:ascii="Times New Roman" w:hAnsi="Times New Roman" w:eastAsia="黑体" w:cs="Times New Roman"/>
          <w:sz w:val="24"/>
          <w:szCs w:val="24"/>
        </w:rPr>
      </w:pPr>
      <w:r>
        <w:rPr>
          <w:rFonts w:ascii="Times New Roman" w:hAnsi="Times New Roman" w:eastAsia="黑体" w:cs="Times New Roman"/>
          <w:sz w:val="24"/>
          <w:szCs w:val="24"/>
        </w:rPr>
        <w:t>一、基本信息</w:t>
      </w:r>
    </w:p>
    <w:p>
      <w:pPr>
        <w:spacing w:line="288" w:lineRule="auto"/>
        <w:ind w:left="210" w:leftChars="100" w:firstLine="193" w:firstLineChars="96"/>
        <w:rPr>
          <w:rFonts w:ascii="Times New Roman" w:hAnsi="Times New Roman" w:eastAsia="宋体" w:cs="Times New Roman"/>
          <w:b/>
          <w:bCs/>
          <w:color w:val="000000"/>
          <w:sz w:val="20"/>
          <w:szCs w:val="24"/>
        </w:rPr>
      </w:pPr>
      <w:r>
        <w:rPr>
          <w:rFonts w:ascii="Times New Roman" w:hAnsi="Times New Roman" w:eastAsia="宋体" w:cs="Times New Roman"/>
          <w:b/>
          <w:bCs/>
          <w:color w:val="000000"/>
          <w:sz w:val="20"/>
          <w:szCs w:val="24"/>
        </w:rPr>
        <w:t>课程代码：【】</w:t>
      </w:r>
    </w:p>
    <w:p>
      <w:pPr>
        <w:spacing w:line="288" w:lineRule="auto"/>
        <w:ind w:firstLine="394" w:firstLineChars="196"/>
        <w:rPr>
          <w:rFonts w:ascii="Times New Roman" w:hAnsi="Times New Roman" w:eastAsia="宋体" w:cs="Times New Roman"/>
          <w:b/>
          <w:color w:val="000000"/>
          <w:szCs w:val="21"/>
        </w:rPr>
      </w:pPr>
      <w:r>
        <w:rPr>
          <w:rFonts w:ascii="Times New Roman" w:hAnsi="Times New Roman" w:eastAsia="宋体" w:cs="Times New Roman"/>
          <w:b/>
          <w:bCs/>
          <w:color w:val="000000"/>
          <w:sz w:val="20"/>
          <w:szCs w:val="24"/>
        </w:rPr>
        <w:t>课程学分：</w:t>
      </w:r>
      <w:r>
        <w:rPr>
          <w:rFonts w:ascii="Times New Roman" w:hAnsi="Times New Roman" w:eastAsia="宋体" w:cs="Times New Roman"/>
          <w:color w:val="000000"/>
          <w:sz w:val="20"/>
          <w:szCs w:val="24"/>
        </w:rPr>
        <w:t>【2】</w:t>
      </w:r>
    </w:p>
    <w:p>
      <w:pPr>
        <w:spacing w:line="288" w:lineRule="auto"/>
        <w:ind w:left="210" w:leftChars="100" w:firstLine="193" w:firstLineChars="96"/>
        <w:rPr>
          <w:rFonts w:ascii="Times New Roman" w:hAnsi="Times New Roman" w:eastAsia="宋体" w:cs="Times New Roman"/>
          <w:b/>
          <w:color w:val="000000"/>
          <w:sz w:val="20"/>
          <w:szCs w:val="24"/>
        </w:rPr>
      </w:pPr>
      <w:r>
        <w:rPr>
          <w:rFonts w:ascii="Times New Roman" w:hAnsi="Times New Roman" w:eastAsia="宋体" w:cs="Times New Roman"/>
          <w:b/>
          <w:bCs/>
          <w:color w:val="000000"/>
          <w:sz w:val="20"/>
          <w:szCs w:val="24"/>
        </w:rPr>
        <w:t>面向专业：</w:t>
      </w:r>
      <w:r>
        <w:rPr>
          <w:rFonts w:ascii="Times New Roman" w:hAnsi="Times New Roman" w:eastAsia="宋体" w:cs="Times New Roman"/>
          <w:color w:val="000000"/>
          <w:sz w:val="20"/>
          <w:szCs w:val="24"/>
        </w:rPr>
        <w:t>【</w:t>
      </w:r>
      <w:r>
        <w:rPr>
          <w:rFonts w:hint="eastAsia" w:ascii="Times New Roman" w:hAnsi="Times New Roman" w:eastAsia="宋体" w:cs="Times New Roman"/>
          <w:color w:val="000000"/>
          <w:sz w:val="20"/>
          <w:szCs w:val="24"/>
        </w:rPr>
        <w:t>秘书学</w:t>
      </w:r>
      <w:r>
        <w:rPr>
          <w:rFonts w:ascii="Times New Roman" w:hAnsi="Times New Roman" w:eastAsia="宋体" w:cs="Times New Roman"/>
          <w:color w:val="000000"/>
          <w:sz w:val="20"/>
          <w:szCs w:val="24"/>
        </w:rPr>
        <w:t>】</w:t>
      </w:r>
    </w:p>
    <w:p>
      <w:pPr>
        <w:spacing w:line="288" w:lineRule="auto"/>
        <w:ind w:left="210" w:leftChars="100" w:firstLine="193" w:firstLineChars="96"/>
        <w:rPr>
          <w:rFonts w:ascii="Times New Roman" w:hAnsi="Times New Roman" w:eastAsia="宋体" w:cs="Times New Roman"/>
          <w:b/>
          <w:bCs/>
          <w:color w:val="000000"/>
          <w:sz w:val="20"/>
          <w:szCs w:val="24"/>
        </w:rPr>
      </w:pPr>
      <w:r>
        <w:rPr>
          <w:rFonts w:ascii="Times New Roman" w:hAnsi="Times New Roman" w:eastAsia="宋体" w:cs="Times New Roman"/>
          <w:b/>
          <w:bCs/>
          <w:color w:val="000000"/>
          <w:sz w:val="20"/>
          <w:szCs w:val="24"/>
        </w:rPr>
        <w:t>课程性质：【</w:t>
      </w:r>
      <w:r>
        <w:rPr>
          <w:rFonts w:hint="eastAsia" w:ascii="Times New Roman" w:hAnsi="Times New Roman" w:eastAsia="宋体" w:cs="Times New Roman"/>
          <w:b/>
          <w:bCs/>
          <w:color w:val="000000"/>
          <w:sz w:val="20"/>
          <w:szCs w:val="24"/>
          <w:lang w:eastAsia="zh-CN"/>
        </w:rPr>
        <w:t>基础必修课</w:t>
      </w:r>
      <w:r>
        <w:rPr>
          <w:rFonts w:ascii="Times New Roman" w:hAnsi="Times New Roman" w:eastAsia="宋体" w:cs="Times New Roman"/>
          <w:b/>
          <w:bCs/>
          <w:color w:val="000000"/>
          <w:sz w:val="20"/>
          <w:szCs w:val="24"/>
        </w:rPr>
        <w:t>】</w:t>
      </w:r>
      <w:bookmarkStart w:id="2" w:name="_GoBack"/>
      <w:bookmarkEnd w:id="2"/>
    </w:p>
    <w:p>
      <w:pPr>
        <w:spacing w:line="288" w:lineRule="auto"/>
        <w:ind w:left="210" w:leftChars="100" w:firstLine="193" w:firstLineChars="96"/>
        <w:rPr>
          <w:rFonts w:hint="eastAsia" w:ascii="Times New Roman" w:hAnsi="Times New Roman" w:eastAsia="宋体" w:cs="Times New Roman"/>
          <w:b/>
          <w:bCs/>
          <w:color w:val="000000"/>
          <w:sz w:val="20"/>
          <w:szCs w:val="24"/>
          <w:lang w:eastAsia="zh-CN"/>
        </w:rPr>
      </w:pPr>
      <w:r>
        <w:rPr>
          <w:rFonts w:ascii="Times New Roman" w:hAnsi="Times New Roman" w:eastAsia="宋体" w:cs="Times New Roman"/>
          <w:b/>
          <w:bCs/>
          <w:color w:val="000000"/>
          <w:sz w:val="20"/>
          <w:szCs w:val="24"/>
        </w:rPr>
        <w:t xml:space="preserve">开课院系： </w:t>
      </w:r>
      <w:r>
        <w:rPr>
          <w:rFonts w:hint="eastAsia" w:ascii="Times New Roman" w:hAnsi="Times New Roman" w:eastAsia="宋体" w:cs="Times New Roman"/>
          <w:b/>
          <w:bCs/>
          <w:color w:val="000000"/>
          <w:sz w:val="20"/>
          <w:szCs w:val="24"/>
          <w:lang w:eastAsia="zh-CN"/>
        </w:rPr>
        <w:t>商学院</w:t>
      </w:r>
    </w:p>
    <w:p>
      <w:pPr>
        <w:spacing w:line="288" w:lineRule="auto"/>
        <w:ind w:left="1416" w:leftChars="196" w:hanging="1004" w:hangingChars="500"/>
        <w:rPr>
          <w:rFonts w:ascii="Times New Roman" w:hAnsi="Times New Roman" w:eastAsia="宋体" w:cs="Times New Roman"/>
          <w:color w:val="000000"/>
          <w:sz w:val="20"/>
          <w:szCs w:val="24"/>
        </w:rPr>
      </w:pPr>
      <w:r>
        <w:rPr>
          <w:rFonts w:ascii="Times New Roman" w:hAnsi="Times New Roman" w:eastAsia="宋体" w:cs="Times New Roman"/>
          <w:b/>
          <w:bCs/>
          <w:color w:val="000000"/>
          <w:sz w:val="20"/>
          <w:szCs w:val="24"/>
        </w:rPr>
        <w:t>使用教材：</w:t>
      </w:r>
      <w:r>
        <w:rPr>
          <w:rFonts w:ascii="Times New Roman" w:hAnsi="Times New Roman" w:eastAsia="宋体" w:cs="Times New Roman"/>
          <w:color w:val="000000"/>
          <w:sz w:val="20"/>
          <w:szCs w:val="24"/>
        </w:rPr>
        <w:t>【会计学原理 第3 版，刘爱香主编，北京大学出版社，2015年9月</w:t>
      </w:r>
    </w:p>
    <w:p>
      <w:pPr>
        <w:spacing w:line="288" w:lineRule="auto"/>
        <w:ind w:left="1420" w:leftChars="676"/>
        <w:rPr>
          <w:rFonts w:ascii="Times New Roman" w:hAnsi="Times New Roman" w:eastAsia="宋体" w:cs="Times New Roman"/>
          <w:color w:val="000000"/>
          <w:szCs w:val="21"/>
        </w:rPr>
      </w:pPr>
      <w:r>
        <w:rPr>
          <w:rFonts w:ascii="Times New Roman" w:hAnsi="Times New Roman" w:eastAsia="宋体" w:cs="Times New Roman"/>
          <w:color w:val="000000"/>
          <w:sz w:val="20"/>
          <w:szCs w:val="24"/>
        </w:rPr>
        <w:t>会计学原理习题与实验，石启辉主编，北京大学出版社，2015年9月】</w:t>
      </w:r>
    </w:p>
    <w:p>
      <w:pPr>
        <w:spacing w:line="288" w:lineRule="auto"/>
        <w:ind w:left="4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 xml:space="preserve">          参考书目【会计学，辛金国、林素燕主编，清华大学出版社，2011年5月】</w:t>
      </w:r>
    </w:p>
    <w:p>
      <w:pPr>
        <w:spacing w:line="288" w:lineRule="auto"/>
        <w:ind w:left="4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 xml:space="preserve">          【企业会计准则，财政部会计司编写组，人民出版社，2010年10月】</w:t>
      </w:r>
    </w:p>
    <w:p>
      <w:pPr>
        <w:spacing w:line="288" w:lineRule="auto"/>
        <w:ind w:firstLine="1400" w:firstLineChars="7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【财经法规与会计职业道德，喻景忠主编，上海财经大学出版社，2015年6月】</w:t>
      </w:r>
    </w:p>
    <w:p>
      <w:pPr>
        <w:snapToGrid w:val="0"/>
        <w:spacing w:line="288" w:lineRule="auto"/>
        <w:ind w:firstLine="394" w:firstLineChars="196"/>
        <w:rPr>
          <w:rFonts w:ascii="Times New Roman" w:hAnsi="Times New Roman" w:eastAsia="宋体" w:cs="Times New Roman"/>
          <w:color w:val="000000"/>
          <w:sz w:val="20"/>
          <w:szCs w:val="24"/>
          <w:highlight w:val="cyan"/>
        </w:rPr>
      </w:pPr>
      <w:r>
        <w:rPr>
          <w:rFonts w:ascii="Times New Roman" w:hAnsi="Times New Roman" w:eastAsia="宋体" w:cs="Times New Roman"/>
          <w:b/>
          <w:bCs/>
          <w:color w:val="000000"/>
          <w:sz w:val="20"/>
          <w:szCs w:val="24"/>
        </w:rPr>
        <w:t>课程网站网址：</w:t>
      </w:r>
    </w:p>
    <w:p>
      <w:pPr>
        <w:adjustRightInd w:val="0"/>
        <w:spacing w:line="288" w:lineRule="auto"/>
        <w:ind w:firstLine="394" w:firstLineChars="196"/>
        <w:rPr>
          <w:rFonts w:ascii="Times New Roman" w:hAnsi="Times New Roman" w:eastAsia="宋体" w:cs="Times New Roman"/>
          <w:color w:val="000000"/>
          <w:sz w:val="20"/>
          <w:szCs w:val="24"/>
        </w:rPr>
      </w:pPr>
      <w:r>
        <w:rPr>
          <w:rFonts w:ascii="Times New Roman" w:hAnsi="Times New Roman" w:eastAsia="宋体" w:cs="Times New Roman"/>
          <w:b/>
          <w:bCs/>
          <w:color w:val="000000"/>
          <w:sz w:val="20"/>
          <w:szCs w:val="24"/>
        </w:rPr>
        <w:t>先修课程：</w:t>
      </w:r>
      <w:r>
        <w:rPr>
          <w:rFonts w:hint="eastAsia" w:ascii="Times New Roman" w:hAnsi="Times New Roman" w:eastAsia="宋体" w:cs="Times New Roman"/>
          <w:b/>
          <w:bCs/>
          <w:color w:val="000000"/>
          <w:sz w:val="20"/>
          <w:szCs w:val="24"/>
        </w:rPr>
        <w:t>无</w:t>
      </w:r>
    </w:p>
    <w:p>
      <w:pPr>
        <w:widowControl/>
        <w:numPr>
          <w:ilvl w:val="0"/>
          <w:numId w:val="1"/>
        </w:numPr>
        <w:spacing w:before="156" w:beforeLines="50" w:after="156" w:afterLines="50" w:line="288" w:lineRule="auto"/>
        <w:ind w:firstLine="360" w:firstLineChars="150"/>
        <w:jc w:val="left"/>
        <w:rPr>
          <w:rFonts w:ascii="Times New Roman" w:hAnsi="Times New Roman" w:eastAsia="黑体" w:cs="Times New Roman"/>
          <w:sz w:val="24"/>
          <w:szCs w:val="24"/>
        </w:rPr>
      </w:pPr>
      <w:r>
        <w:rPr>
          <w:rFonts w:ascii="Times New Roman" w:hAnsi="Times New Roman" w:eastAsia="黑体" w:cs="Times New Roman"/>
          <w:sz w:val="24"/>
          <w:szCs w:val="24"/>
        </w:rPr>
        <w:t>课程简介</w:t>
      </w:r>
    </w:p>
    <w:p>
      <w:pPr>
        <w:spacing w:line="288" w:lineRule="auto"/>
        <w:ind w:firstLine="400" w:firstLineChars="200"/>
        <w:rPr>
          <w:rFonts w:ascii="Times New Roman" w:hAnsi="Times New Roman" w:eastAsia="宋体" w:cs="Times New Roman"/>
          <w:color w:val="000000"/>
          <w:szCs w:val="21"/>
        </w:rPr>
      </w:pPr>
      <w:r>
        <w:rPr>
          <w:rFonts w:ascii="Times New Roman" w:hAnsi="Times New Roman" w:eastAsia="宋体" w:cs="Times New Roman"/>
          <w:color w:val="000000"/>
          <w:sz w:val="20"/>
          <w:szCs w:val="24"/>
        </w:rPr>
        <w:t>《</w:t>
      </w:r>
      <w:r>
        <w:rPr>
          <w:rFonts w:hint="eastAsia" w:ascii="Times New Roman" w:hAnsi="Times New Roman" w:eastAsia="宋体" w:cs="Times New Roman"/>
          <w:color w:val="000000"/>
          <w:sz w:val="20"/>
          <w:szCs w:val="24"/>
        </w:rPr>
        <w:t>会计基础</w:t>
      </w:r>
      <w:r>
        <w:rPr>
          <w:rFonts w:ascii="Times New Roman" w:hAnsi="Times New Roman" w:eastAsia="宋体" w:cs="Times New Roman"/>
          <w:color w:val="000000"/>
          <w:sz w:val="20"/>
          <w:szCs w:val="24"/>
        </w:rPr>
        <w:t>》是一门技术科学与经济学有机结合的边缘学科，是一门理论性和实践性较强的课程。本课程主要介绍会计核算的基本理论、基本原则、基本方法和基本操作技能；侧重于培养学生对基本业务的理解和处理、对基本会计报表的阅读和分析的能力。课程目标是使学生在掌握会计学基本原理的基础上逐步学会会计确认、会计计量、会计记录和会计报告各环节的核算方法。该课程既是会计学专业的专业基础课，又是经济管理类各专业方向的学科基础必修课。无论是会计专业方向，还是经济管理类其他专业，都要在学习该课程的基础上进一步学习有关专业课程。</w:t>
      </w:r>
    </w:p>
    <w:p>
      <w:pPr>
        <w:widowControl/>
        <w:spacing w:before="156" w:beforeLines="50" w:after="156" w:afterLines="50" w:line="288" w:lineRule="auto"/>
        <w:ind w:firstLine="240" w:firstLineChars="100"/>
        <w:jc w:val="left"/>
        <w:rPr>
          <w:rFonts w:ascii="Times New Roman" w:hAnsi="Times New Roman" w:eastAsia="黑体" w:cs="Times New Roman"/>
          <w:sz w:val="24"/>
          <w:szCs w:val="24"/>
        </w:rPr>
      </w:pPr>
      <w:r>
        <w:rPr>
          <w:rFonts w:ascii="Times New Roman" w:hAnsi="Times New Roman" w:eastAsia="黑体" w:cs="Times New Roman"/>
          <w:sz w:val="24"/>
          <w:szCs w:val="24"/>
        </w:rPr>
        <w:t>三、选课建议</w:t>
      </w: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本课程适合</w:t>
      </w:r>
      <w:r>
        <w:rPr>
          <w:rFonts w:hint="eastAsia" w:ascii="Times New Roman" w:hAnsi="Times New Roman" w:eastAsia="宋体" w:cs="Times New Roman"/>
          <w:color w:val="000000"/>
          <w:sz w:val="20"/>
          <w:szCs w:val="24"/>
        </w:rPr>
        <w:t>秘书学</w:t>
      </w:r>
      <w:r>
        <w:rPr>
          <w:rFonts w:ascii="Times New Roman" w:hAnsi="Times New Roman" w:eastAsia="宋体" w:cs="Times New Roman"/>
          <w:color w:val="000000"/>
          <w:sz w:val="20"/>
          <w:szCs w:val="24"/>
        </w:rPr>
        <w:t>本科专业学生在第二至第四学期时学习。</w:t>
      </w: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p>
    <w:p>
      <w:pPr>
        <w:widowControl/>
        <w:spacing w:before="156" w:beforeLines="50" w:after="156" w:afterLines="50" w:line="288" w:lineRule="auto"/>
        <w:ind w:firstLine="480" w:firstLineChars="200"/>
        <w:jc w:val="left"/>
        <w:rPr>
          <w:rFonts w:ascii="Times New Roman" w:hAnsi="Times New Roman" w:eastAsia="黑体" w:cs="Times New Roman"/>
          <w:sz w:val="24"/>
          <w:szCs w:val="24"/>
        </w:rPr>
      </w:pPr>
    </w:p>
    <w:p>
      <w:pPr>
        <w:widowControl/>
        <w:spacing w:before="156" w:beforeLines="50" w:after="156" w:afterLines="50" w:line="288" w:lineRule="auto"/>
        <w:ind w:firstLine="240" w:firstLineChars="100"/>
        <w:jc w:val="left"/>
        <w:rPr>
          <w:rFonts w:ascii="Times New Roman" w:hAnsi="Times New Roman" w:eastAsia="黑体" w:cs="Times New Roman"/>
          <w:color w:val="FF0000"/>
          <w:sz w:val="24"/>
          <w:szCs w:val="24"/>
        </w:rPr>
      </w:pPr>
      <w:r>
        <w:rPr>
          <w:rFonts w:ascii="Times New Roman" w:hAnsi="Times New Roman" w:eastAsia="黑体" w:cs="Times New Roman"/>
          <w:color w:val="FF0000"/>
          <w:sz w:val="24"/>
          <w:szCs w:val="24"/>
        </w:rPr>
        <w:t>四、课程与专业毕业要求的关联性</w:t>
      </w:r>
    </w:p>
    <w:tbl>
      <w:tblPr>
        <w:tblStyle w:val="5"/>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tcPr>
          <w:p>
            <w:pPr>
              <w:tabs>
                <w:tab w:val="center" w:pos="4153"/>
                <w:tab w:val="right" w:pos="8306"/>
              </w:tabs>
              <w:snapToGrid w:val="0"/>
              <w:spacing w:line="288" w:lineRule="auto"/>
              <w:jc w:val="center"/>
              <w:rPr>
                <w:rFonts w:cs="Times New Roman" w:asciiTheme="minorEastAsia" w:hAnsiTheme="minorEastAsia"/>
                <w:b/>
                <w:color w:val="FF0000"/>
                <w:kern w:val="0"/>
                <w:sz w:val="20"/>
                <w:szCs w:val="20"/>
              </w:rPr>
            </w:pPr>
            <w:r>
              <w:rPr>
                <w:rFonts w:cs="Times New Roman" w:asciiTheme="minorEastAsia" w:hAnsiTheme="minorEastAsia"/>
                <w:b/>
                <w:color w:val="FF0000"/>
                <w:kern w:val="0"/>
                <w:sz w:val="20"/>
                <w:szCs w:val="20"/>
              </w:rPr>
              <w:t>专业毕业要求</w:t>
            </w:r>
          </w:p>
        </w:tc>
        <w:tc>
          <w:tcPr>
            <w:tcW w:w="727" w:type="dxa"/>
          </w:tcPr>
          <w:p>
            <w:pPr>
              <w:tabs>
                <w:tab w:val="center" w:pos="4153"/>
                <w:tab w:val="right" w:pos="8306"/>
              </w:tabs>
              <w:snapToGrid w:val="0"/>
              <w:jc w:val="center"/>
              <w:rPr>
                <w:rFonts w:ascii="Times New Roman" w:hAnsi="Times New Roman" w:eastAsia="黑体" w:cs="Times New Roman"/>
                <w:color w:val="FF0000"/>
                <w:kern w:val="0"/>
                <w:sz w:val="20"/>
                <w:szCs w:val="20"/>
              </w:rPr>
            </w:pPr>
            <w:r>
              <w:rPr>
                <w:rFonts w:ascii="Times New Roman" w:hAnsi="Times New Roman" w:eastAsia="黑体" w:cs="Times New Roman"/>
                <w:color w:val="FF0000"/>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LO11：理解他人的观点,尊重他人的价值观,能在不同场合用书面或口头进行有效交流。</w:t>
            </w:r>
          </w:p>
        </w:tc>
        <w:tc>
          <w:tcPr>
            <w:tcW w:w="727" w:type="dxa"/>
            <w:vAlign w:val="center"/>
          </w:tcPr>
          <w:p>
            <w:pPr>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LO21：能积极自主的参与学习，能够确定自己的学习目标，并主动地通过搜集信息、分析信息、讨论、实践、质疑、创造等方法来实现学习目标。</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FF0000"/>
                <w:kern w:val="0"/>
                <w:sz w:val="24"/>
                <w:szCs w:val="20"/>
              </w:rPr>
            </w:pPr>
            <w:r>
              <w:rPr>
                <w:rFonts w:ascii="Times New Roman" w:hAnsi="Times New Roman" w:eastAsia="宋体" w:cs="Times New Roman"/>
                <w:color w:val="FF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LO31：财务管理分析能力</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LO32：会计核算与监督能力</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FF0000"/>
                <w:kern w:val="0"/>
                <w:sz w:val="24"/>
                <w:szCs w:val="20"/>
              </w:rPr>
            </w:pPr>
            <w:r>
              <w:rPr>
                <w:rFonts w:ascii="Times New Roman" w:hAnsi="Times New Roman" w:eastAsia="宋体" w:cs="Times New Roman"/>
                <w:color w:val="FF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LO33：会计软件操作与应用能力</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LO34：风险管理控制能力</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LO41：遵守纪律、守信守责;具有耐挫折、抗压力的能力。(“责任”为 我校校训内容之一)</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FF0000"/>
                <w:kern w:val="0"/>
                <w:sz w:val="24"/>
                <w:szCs w:val="20"/>
              </w:rPr>
            </w:pPr>
            <w:r>
              <w:rPr>
                <w:rFonts w:ascii="Times New Roman" w:hAnsi="Times New Roman" w:eastAsia="宋体" w:cs="Times New Roman"/>
                <w:color w:val="FF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LO51：同群体保持良好的合作关系,做集体中的积极成员;善于从多个维 度思考问题,利用自己的知识与实践来提出新设想。</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LO61：具备一定的信息素养,并能在工作中应用信息技术解决问题。</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LO71：愿意服务他人、服务企业、服务社会;为人热忱,富于爱心,懂得 感恩(“感恩、回报、爱心”为我校校训内容之一)</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widowControl/>
              <w:tabs>
                <w:tab w:val="center" w:pos="4153"/>
                <w:tab w:val="right" w:pos="8306"/>
              </w:tabs>
              <w:snapToGrid w:val="0"/>
              <w:spacing w:line="288" w:lineRule="auto"/>
              <w:rPr>
                <w:rFonts w:ascii="Times New Roman" w:hAnsi="Times New Roman" w:cs="Times New Roman"/>
                <w:color w:val="FF0000"/>
                <w:kern w:val="0"/>
                <w:sz w:val="20"/>
                <w:szCs w:val="20"/>
              </w:rPr>
            </w:pPr>
            <w:r>
              <w:rPr>
                <w:rFonts w:ascii="Times New Roman" w:hAnsi="Times New Roman" w:cs="Times New Roman"/>
                <w:color w:val="FF0000"/>
                <w:kern w:val="0"/>
                <w:sz w:val="20"/>
                <w:szCs w:val="24"/>
              </w:rPr>
              <w:t>LO81：具有基本的外语表达沟通能力与跨文化理解能力，有国际竞争与合作的意识。</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FF0000"/>
                <w:kern w:val="0"/>
                <w:sz w:val="24"/>
                <w:szCs w:val="20"/>
              </w:rPr>
            </w:pPr>
          </w:p>
        </w:tc>
      </w:tr>
    </w:tbl>
    <w:p>
      <w:pPr>
        <w:ind w:firstLine="420" w:firstLineChars="200"/>
        <w:rPr>
          <w:rFonts w:ascii="Times New Roman" w:hAnsi="Times New Roman" w:eastAsia="宋体" w:cs="Times New Roman"/>
          <w:szCs w:val="24"/>
        </w:rPr>
      </w:pPr>
      <w:r>
        <w:rPr>
          <w:rFonts w:ascii="Times New Roman" w:hAnsi="Times New Roman" w:eastAsia="宋体" w:cs="Times New Roman"/>
          <w:szCs w:val="24"/>
        </w:rPr>
        <w:t>备注：LO=learning outcomes（学习成果）</w:t>
      </w:r>
    </w:p>
    <w:p>
      <w:pPr>
        <w:spacing w:before="156" w:beforeLines="50" w:after="156" w:afterLines="50" w:line="288" w:lineRule="auto"/>
        <w:ind w:firstLine="480" w:firstLineChars="200"/>
        <w:rPr>
          <w:rFonts w:ascii="Times New Roman" w:hAnsi="Times New Roman" w:eastAsia="宋体" w:cs="Times New Roman"/>
          <w:sz w:val="20"/>
          <w:szCs w:val="20"/>
        </w:rPr>
      </w:pPr>
      <w:r>
        <w:rPr>
          <w:rFonts w:ascii="Times New Roman" w:hAnsi="Times New Roman" w:eastAsia="黑体" w:cs="Times New Roman"/>
          <w:sz w:val="24"/>
          <w:szCs w:val="24"/>
        </w:rPr>
        <w:t>五、课程目标/课程预期学习成果</w:t>
      </w:r>
    </w:p>
    <w:tbl>
      <w:tblPr>
        <w:tblStyle w:val="5"/>
        <w:tblpPr w:leftFromText="180" w:rightFromText="180" w:vertAnchor="text" w:horzAnchor="page" w:tblpX="1845"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98"/>
        <w:gridCol w:w="2693"/>
        <w:gridCol w:w="20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序号</w:t>
            </w:r>
          </w:p>
        </w:tc>
        <w:tc>
          <w:tcPr>
            <w:tcW w:w="1098" w:type="dxa"/>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课程预期</w:t>
            </w:r>
          </w:p>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学习成果</w:t>
            </w:r>
          </w:p>
        </w:tc>
        <w:tc>
          <w:tcPr>
            <w:tcW w:w="2693"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课程目标</w:t>
            </w:r>
          </w:p>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（细化的预期学习成果）</w:t>
            </w:r>
          </w:p>
        </w:tc>
        <w:tc>
          <w:tcPr>
            <w:tcW w:w="2053"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教与学方式</w:t>
            </w:r>
          </w:p>
        </w:tc>
        <w:tc>
          <w:tcPr>
            <w:tcW w:w="1491"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tcPr>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1</w:t>
            </w:r>
          </w:p>
        </w:tc>
        <w:tc>
          <w:tcPr>
            <w:tcW w:w="1098" w:type="dxa"/>
            <w:vAlign w:val="center"/>
          </w:tcPr>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LO211</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能根据会计学课程的相关内容确定学习目标，并设计学习计划。</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教师：引导学生制定学习计划和学习目标</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学生：完成学习计划和学习目标</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课程学习规划及课堂表现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tcPr>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2</w:t>
            </w:r>
          </w:p>
        </w:tc>
        <w:tc>
          <w:tcPr>
            <w:tcW w:w="1098" w:type="dxa"/>
          </w:tcPr>
          <w:p>
            <w:pPr>
              <w:ind w:left="480" w:hanging="480"/>
              <w:jc w:val="left"/>
              <w:rPr>
                <w:rFonts w:ascii="Times New Roman" w:hAnsi="Times New Roman" w:eastAsia="仿宋" w:cs="Times New Roman"/>
                <w:color w:val="000000"/>
                <w:kern w:val="0"/>
                <w:sz w:val="20"/>
                <w:szCs w:val="24"/>
              </w:rPr>
            </w:pPr>
          </w:p>
          <w:p>
            <w:pPr>
              <w:ind w:left="480" w:hanging="480"/>
              <w:jc w:val="left"/>
              <w:rPr>
                <w:rFonts w:ascii="Times New Roman" w:hAnsi="Times New Roman" w:eastAsia="仿宋" w:cs="Times New Roman"/>
                <w:color w:val="000000"/>
                <w:kern w:val="0"/>
                <w:sz w:val="20"/>
                <w:szCs w:val="24"/>
              </w:rPr>
            </w:pPr>
          </w:p>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LO321</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在学习会计基本理论的基础上，了解会计核算业务流程，掌握会计核算科目、记账方法，填写会计核算的基本资料，具备会计岗位工作能力。</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教师：诠释理论、介绍方法、实例讲解、示范操作等</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学生：课前预习、课中练习（做中学，学中做）课后扩展阅读、完成课后习题</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sz w:val="20"/>
                <w:szCs w:val="24"/>
              </w:rPr>
              <w:t>随堂操作测试及课后作业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tcPr>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3</w:t>
            </w:r>
          </w:p>
        </w:tc>
        <w:tc>
          <w:tcPr>
            <w:tcW w:w="1098" w:type="dxa"/>
          </w:tcPr>
          <w:p>
            <w:pPr>
              <w:ind w:left="480" w:hanging="480"/>
              <w:jc w:val="left"/>
              <w:rPr>
                <w:rFonts w:ascii="Times New Roman" w:hAnsi="Times New Roman" w:eastAsia="仿宋" w:cs="Times New Roman"/>
                <w:color w:val="000000"/>
                <w:kern w:val="0"/>
                <w:sz w:val="20"/>
                <w:szCs w:val="24"/>
              </w:rPr>
            </w:pPr>
          </w:p>
          <w:p>
            <w:pPr>
              <w:ind w:left="480" w:hanging="480"/>
              <w:jc w:val="left"/>
              <w:rPr>
                <w:rFonts w:ascii="Times New Roman" w:hAnsi="Times New Roman" w:eastAsia="仿宋" w:cs="Times New Roman"/>
                <w:color w:val="000000"/>
                <w:kern w:val="0"/>
                <w:sz w:val="20"/>
                <w:szCs w:val="24"/>
              </w:rPr>
            </w:pPr>
          </w:p>
          <w:p>
            <w:pPr>
              <w:ind w:left="480" w:hanging="480"/>
              <w:jc w:val="left"/>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LO413</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了解相关财经法律与会计职业道德，充分认识本专业就业岗位在社会经济中的作用和地位，在学习和社会实践中遵守财经法规，培养法律意识，具体职业道德操守。</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教师：指定相关阅读书目，提出学习要求</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学生：课后自学，并完成相关资料的收集和作业</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课外扩展资料阅读记录</w:t>
            </w:r>
          </w:p>
        </w:tc>
      </w:tr>
    </w:tbl>
    <w:p>
      <w:pPr>
        <w:widowControl/>
        <w:spacing w:before="156" w:beforeLines="50" w:after="156" w:afterLines="50" w:line="288" w:lineRule="auto"/>
        <w:ind w:firstLine="361" w:firstLineChars="150"/>
        <w:jc w:val="left"/>
        <w:rPr>
          <w:rFonts w:ascii="Times New Roman" w:hAnsi="Times New Roman" w:eastAsia="黑体" w:cs="Times New Roman"/>
          <w:b/>
          <w:sz w:val="24"/>
          <w:szCs w:val="24"/>
        </w:rPr>
      </w:pPr>
      <w:r>
        <w:rPr>
          <w:rFonts w:ascii="Times New Roman" w:hAnsi="Times New Roman" w:eastAsia="黑体" w:cs="Times New Roman"/>
          <w:b/>
          <w:sz w:val="24"/>
          <w:szCs w:val="24"/>
        </w:rPr>
        <w:t>六、课程内容</w:t>
      </w:r>
    </w:p>
    <w:p>
      <w:pPr>
        <w:snapToGrid w:val="0"/>
        <w:spacing w:line="288" w:lineRule="auto"/>
        <w:ind w:firstLine="402" w:firstLineChars="200"/>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第1单元  总论</w:t>
      </w:r>
      <w:r>
        <w:rPr>
          <w:rFonts w:ascii="Times New Roman" w:hAnsi="Times New Roman" w:eastAsia="宋体" w:cs="Times New Roman"/>
          <w:b/>
          <w:bCs/>
          <w:color w:val="000000"/>
          <w:sz w:val="20"/>
          <w:szCs w:val="20"/>
        </w:rPr>
        <w:t>（理论课时</w:t>
      </w:r>
      <w:r>
        <w:rPr>
          <w:rFonts w:hint="eastAsia" w:ascii="Times New Roman" w:hAnsi="Times New Roman" w:eastAsia="宋体" w:cs="Times New Roman"/>
          <w:b/>
          <w:bCs/>
          <w:color w:val="000000"/>
          <w:sz w:val="20"/>
          <w:szCs w:val="20"/>
        </w:rPr>
        <w:t>2</w:t>
      </w:r>
      <w:r>
        <w:rPr>
          <w:rFonts w:ascii="Times New Roman" w:hAnsi="Times New Roman" w:eastAsia="宋体" w:cs="Times New Roman"/>
          <w:b/>
          <w:bCs/>
          <w:color w:val="000000"/>
          <w:sz w:val="20"/>
          <w:szCs w:val="20"/>
        </w:rPr>
        <w:t>，实践课时0）</w:t>
      </w:r>
    </w:p>
    <w:p>
      <w:pPr>
        <w:spacing w:line="288" w:lineRule="auto"/>
        <w:rPr>
          <w:rFonts w:ascii="Times New Roman" w:hAnsi="Times New Roman" w:eastAsia="宋体" w:cs="Times New Roman"/>
          <w:b/>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1.1 会计的产生和发展</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1.2 会计的含义、特点及定义</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1.3 会计信息使用者</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1.4 会计的职能</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1.5 会计方法及会计核算方法</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fldChar w:fldCharType="begin"/>
      </w:r>
      <w:r>
        <w:rPr>
          <w:rFonts w:ascii="Times New Roman" w:hAnsi="Times New Roman" w:eastAsia="宋体" w:cs="Times New Roman"/>
          <w:color w:val="000000"/>
          <w:kern w:val="0"/>
          <w:sz w:val="20"/>
          <w:szCs w:val="24"/>
        </w:rPr>
        <w:instrText xml:space="preserve"> = 1 \* GB3 </w:instrText>
      </w:r>
      <w:r>
        <w:rPr>
          <w:rFonts w:ascii="Times New Roman" w:hAnsi="Times New Roman" w:eastAsia="宋体" w:cs="Times New Roman"/>
          <w:color w:val="000000"/>
          <w:kern w:val="0"/>
          <w:sz w:val="20"/>
          <w:szCs w:val="24"/>
        </w:rPr>
        <w:fldChar w:fldCharType="separate"/>
      </w: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fldChar w:fldCharType="end"/>
      </w:r>
      <w:r>
        <w:rPr>
          <w:rFonts w:ascii="Times New Roman" w:hAnsi="Times New Roman" w:eastAsia="宋体" w:cs="Times New Roman"/>
          <w:color w:val="000000"/>
          <w:kern w:val="0"/>
          <w:sz w:val="20"/>
          <w:szCs w:val="24"/>
        </w:rPr>
        <w:t>知道会计的产生与发展过程、会计信息使用者、会计核算方法；</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fldChar w:fldCharType="begin"/>
      </w:r>
      <w:r>
        <w:rPr>
          <w:rFonts w:ascii="Times New Roman" w:hAnsi="Times New Roman" w:eastAsia="宋体" w:cs="Times New Roman"/>
          <w:color w:val="000000"/>
          <w:kern w:val="0"/>
          <w:sz w:val="20"/>
          <w:szCs w:val="24"/>
        </w:rPr>
        <w:instrText xml:space="preserve"> = 2 \* GB3 </w:instrText>
      </w:r>
      <w:r>
        <w:rPr>
          <w:rFonts w:ascii="Times New Roman" w:hAnsi="Times New Roman" w:eastAsia="宋体" w:cs="Times New Roman"/>
          <w:color w:val="000000"/>
          <w:kern w:val="0"/>
          <w:sz w:val="20"/>
          <w:szCs w:val="24"/>
        </w:rPr>
        <w:fldChar w:fldCharType="separate"/>
      </w: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fldChar w:fldCharType="end"/>
      </w:r>
      <w:r>
        <w:rPr>
          <w:rFonts w:ascii="Times New Roman" w:hAnsi="Times New Roman" w:eastAsia="宋体" w:cs="Times New Roman"/>
          <w:color w:val="000000"/>
          <w:kern w:val="0"/>
          <w:sz w:val="20"/>
          <w:szCs w:val="24"/>
        </w:rPr>
        <w:t>理解会计的定义、目标与职能。</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 xml:space="preserve">    会计信息使用者</w:t>
      </w:r>
    </w:p>
    <w:p>
      <w:pPr>
        <w:snapToGrid w:val="0"/>
        <w:spacing w:line="288" w:lineRule="auto"/>
        <w:ind w:firstLine="394" w:firstLineChars="196"/>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第2单元  会计的基本概念</w:t>
      </w:r>
      <w:r>
        <w:rPr>
          <w:rFonts w:ascii="Times New Roman" w:hAnsi="Times New Roman" w:eastAsia="宋体" w:cs="Times New Roman"/>
          <w:b/>
          <w:bCs/>
          <w:color w:val="000000"/>
          <w:sz w:val="20"/>
          <w:szCs w:val="20"/>
        </w:rPr>
        <w:t>（理论课时4，实践课时0）</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2.1 会计假设</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2.2 会计目标</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2.3 会计信息质量要求</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2.4 会计要素</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2.5 会计等式</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fldChar w:fldCharType="begin"/>
      </w:r>
      <w:r>
        <w:rPr>
          <w:rFonts w:ascii="Times New Roman" w:hAnsi="Times New Roman" w:eastAsia="宋体" w:cs="Times New Roman"/>
          <w:color w:val="000000"/>
          <w:kern w:val="0"/>
          <w:sz w:val="20"/>
          <w:szCs w:val="24"/>
        </w:rPr>
        <w:instrText xml:space="preserve"> = 1 \* GB3 </w:instrText>
      </w:r>
      <w:r>
        <w:rPr>
          <w:rFonts w:ascii="Times New Roman" w:hAnsi="Times New Roman" w:eastAsia="宋体" w:cs="Times New Roman"/>
          <w:color w:val="000000"/>
          <w:kern w:val="0"/>
          <w:sz w:val="20"/>
          <w:szCs w:val="24"/>
        </w:rPr>
        <w:fldChar w:fldCharType="separate"/>
      </w: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fldChar w:fldCharType="end"/>
      </w:r>
      <w:r>
        <w:rPr>
          <w:rFonts w:ascii="Times New Roman" w:hAnsi="Times New Roman" w:eastAsia="宋体" w:cs="Times New Roman"/>
          <w:color w:val="000000"/>
          <w:kern w:val="0"/>
          <w:sz w:val="20"/>
          <w:szCs w:val="24"/>
        </w:rPr>
        <w:t>知道会计目标、会计要素、会计等式；</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理解会计假设、会计信息质量要求。</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 xml:space="preserve">     会计要素</w:t>
      </w:r>
    </w:p>
    <w:p>
      <w:pPr>
        <w:snapToGrid w:val="0"/>
        <w:spacing w:line="288" w:lineRule="auto"/>
        <w:ind w:firstLine="394" w:firstLineChars="196"/>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第3单元   会计科目与记账方法</w:t>
      </w:r>
      <w:r>
        <w:rPr>
          <w:rFonts w:ascii="Times New Roman" w:hAnsi="Times New Roman" w:eastAsia="宋体" w:cs="Times New Roman"/>
          <w:b/>
          <w:bCs/>
          <w:color w:val="000000"/>
          <w:sz w:val="20"/>
          <w:szCs w:val="20"/>
        </w:rPr>
        <w:t>（理论课时4，实践课时0）</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3.1 会计科目</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3.2 会计账户</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3.3 复式记账</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知道会计科目的名称、会计科目的分类；</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理解会计账户的结构、复式记账的方法。</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会计科目　借贷记账法</w:t>
      </w:r>
    </w:p>
    <w:p>
      <w:pPr>
        <w:snapToGrid w:val="0"/>
        <w:spacing w:line="288" w:lineRule="auto"/>
        <w:ind w:firstLine="394" w:firstLineChars="196"/>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4"/>
        </w:rPr>
        <w:t>第4单元   借贷记账法的具体运用</w:t>
      </w:r>
      <w:r>
        <w:rPr>
          <w:rFonts w:ascii="Times New Roman" w:hAnsi="Times New Roman" w:eastAsia="宋体" w:cs="Times New Roman"/>
          <w:b/>
          <w:bCs/>
          <w:color w:val="000000"/>
          <w:sz w:val="20"/>
          <w:szCs w:val="20"/>
        </w:rPr>
        <w:t>（理论课时</w:t>
      </w:r>
      <w:r>
        <w:rPr>
          <w:rFonts w:hint="eastAsia" w:ascii="Times New Roman" w:hAnsi="Times New Roman" w:eastAsia="宋体" w:cs="Times New Roman"/>
          <w:b/>
          <w:bCs/>
          <w:color w:val="000000"/>
          <w:sz w:val="20"/>
          <w:szCs w:val="20"/>
        </w:rPr>
        <w:t>8</w:t>
      </w:r>
      <w:r>
        <w:rPr>
          <w:rFonts w:ascii="Times New Roman" w:hAnsi="Times New Roman" w:eastAsia="宋体" w:cs="Times New Roman"/>
          <w:b/>
          <w:bCs/>
          <w:color w:val="000000"/>
          <w:sz w:val="20"/>
          <w:szCs w:val="20"/>
        </w:rPr>
        <w:t>，实践课时0）</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4.1 制造企业主要经济业务概述</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4.2 资金筹集核算</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4.3 供应过程的核算</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4.4 生产过程的核算</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4.5 收入和利润核算</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4.6 资金退出核算</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知道制造业经济业务的主要内容；</w:t>
      </w:r>
    </w:p>
    <w:p>
      <w:pPr>
        <w:pStyle w:val="11"/>
        <w:spacing w:line="288" w:lineRule="auto"/>
        <w:ind w:left="200" w:firstLine="200" w:firstLineChars="1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理解主要经济业务核算所设置的核算账户的结构；</w:t>
      </w:r>
    </w:p>
    <w:p>
      <w:pPr>
        <w:spacing w:line="288" w:lineRule="auto"/>
        <w:ind w:left="820" w:leftChars="200" w:hanging="400" w:hanging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③</w:t>
      </w:r>
      <w:r>
        <w:rPr>
          <w:rFonts w:ascii="Times New Roman" w:hAnsi="Times New Roman" w:eastAsia="宋体" w:cs="Times New Roman"/>
          <w:color w:val="000000"/>
          <w:kern w:val="0"/>
          <w:sz w:val="20"/>
          <w:szCs w:val="24"/>
        </w:rPr>
        <w:t>运用“借贷记账法”对筹资、供应、生产、收入、利润及资金退出业务进行会计处理。</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主要会计核算账户　筹资、供应、生产、销售、利润的会计核算</w:t>
      </w:r>
    </w:p>
    <w:p>
      <w:pPr>
        <w:spacing w:line="288" w:lineRule="auto"/>
        <w:ind w:firstLine="402" w:firstLineChars="200"/>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第5单元  会计凭证（理论课时</w:t>
      </w:r>
      <w:r>
        <w:rPr>
          <w:rFonts w:hint="eastAsia" w:ascii="Times New Roman" w:hAnsi="Times New Roman" w:eastAsia="宋体" w:cs="Times New Roman"/>
          <w:b/>
          <w:color w:val="000000"/>
          <w:kern w:val="0"/>
          <w:sz w:val="20"/>
          <w:szCs w:val="24"/>
        </w:rPr>
        <w:t>4</w:t>
      </w:r>
      <w:r>
        <w:rPr>
          <w:rFonts w:ascii="Times New Roman" w:hAnsi="Times New Roman" w:eastAsia="宋体" w:cs="Times New Roman"/>
          <w:b/>
          <w:color w:val="000000"/>
          <w:kern w:val="0"/>
          <w:sz w:val="20"/>
          <w:szCs w:val="24"/>
        </w:rPr>
        <w:t>，实践课时</w:t>
      </w:r>
      <w:r>
        <w:rPr>
          <w:rFonts w:hint="eastAsia" w:ascii="Times New Roman" w:hAnsi="Times New Roman" w:eastAsia="宋体" w:cs="Times New Roman"/>
          <w:b/>
          <w:color w:val="000000"/>
          <w:kern w:val="0"/>
          <w:sz w:val="20"/>
          <w:szCs w:val="24"/>
        </w:rPr>
        <w:t>0</w:t>
      </w:r>
      <w:r>
        <w:rPr>
          <w:rFonts w:ascii="Times New Roman" w:hAnsi="Times New Roman" w:eastAsia="宋体" w:cs="Times New Roman"/>
          <w:b/>
          <w:color w:val="000000"/>
          <w:kern w:val="0"/>
          <w:sz w:val="20"/>
          <w:szCs w:val="24"/>
        </w:rPr>
        <w:t>）</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5.1 会计凭证概述　</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5.2 原始凭证</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5.3 记账凭证</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5.4 会计凭证的传递和保管</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知道会计凭证的概念及分类、会计凭证的内容、会计凭证的传递和保管方法；</w:t>
      </w:r>
    </w:p>
    <w:p>
      <w:pPr>
        <w:spacing w:line="288" w:lineRule="auto"/>
        <w:ind w:left="4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理解会计凭证的作用；</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③</w:t>
      </w:r>
      <w:r>
        <w:rPr>
          <w:rFonts w:ascii="Times New Roman" w:hAnsi="Times New Roman" w:eastAsia="宋体" w:cs="Times New Roman"/>
          <w:color w:val="000000"/>
          <w:kern w:val="0"/>
          <w:sz w:val="20"/>
          <w:szCs w:val="24"/>
        </w:rPr>
        <w:t>运用原始凭证、记账凭证的填制与审核方法填制、审核凭证。</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原始凭证的填制与审核　记账凭证的填制与审核。</w:t>
      </w:r>
    </w:p>
    <w:p>
      <w:pPr>
        <w:spacing w:line="288" w:lineRule="auto"/>
        <w:ind w:firstLine="402" w:firstLineChars="200"/>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第6单元  会计账簿（理论课时2，实践课时</w:t>
      </w:r>
      <w:r>
        <w:rPr>
          <w:rFonts w:hint="eastAsia" w:ascii="Times New Roman" w:hAnsi="Times New Roman" w:eastAsia="宋体" w:cs="Times New Roman"/>
          <w:b/>
          <w:color w:val="000000"/>
          <w:kern w:val="0"/>
          <w:sz w:val="20"/>
          <w:szCs w:val="24"/>
        </w:rPr>
        <w:t>0</w:t>
      </w:r>
      <w:r>
        <w:rPr>
          <w:rFonts w:ascii="Times New Roman" w:hAnsi="Times New Roman" w:eastAsia="宋体" w:cs="Times New Roman"/>
          <w:b/>
          <w:color w:val="000000"/>
          <w:kern w:val="0"/>
          <w:sz w:val="20"/>
          <w:szCs w:val="24"/>
        </w:rPr>
        <w:t>）</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6.1 会计账簿概述　</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6.2 会计账簿的设置和登记</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6.3 日记账</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6.4 分类账</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6.5 对账、结账与错账更正</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6.6 会计账簿的更换与保管</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知道会计账簿的概念与分类、会计账簿的基本内容及启用原则；</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理解会计账簿的更换和保管方法、会计内账簿的设置；</w:t>
      </w:r>
    </w:p>
    <w:p>
      <w:pPr>
        <w:spacing w:line="288" w:lineRule="auto"/>
        <w:ind w:left="653" w:leftChars="201" w:hanging="231" w:hangingChars="116"/>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③</w:t>
      </w:r>
      <w:r>
        <w:rPr>
          <w:rFonts w:ascii="Times New Roman" w:hAnsi="Times New Roman" w:eastAsia="宋体" w:cs="Times New Roman"/>
          <w:color w:val="000000"/>
          <w:kern w:val="0"/>
          <w:sz w:val="20"/>
          <w:szCs w:val="24"/>
        </w:rPr>
        <w:t>运用日记账、总分类账、明细分类账的登记方法，对账、结账及错账的更正方法处理业务。</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日记账、总账、明细账的登记　 错账的更正</w:t>
      </w:r>
    </w:p>
    <w:p>
      <w:pPr>
        <w:spacing w:line="288" w:lineRule="auto"/>
        <w:ind w:firstLine="402" w:firstLineChars="200"/>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第7单元   财产清查（理论课时</w:t>
      </w:r>
      <w:r>
        <w:rPr>
          <w:rFonts w:hint="eastAsia" w:ascii="Times New Roman" w:hAnsi="Times New Roman" w:eastAsia="宋体" w:cs="Times New Roman"/>
          <w:b/>
          <w:color w:val="000000"/>
          <w:kern w:val="0"/>
          <w:sz w:val="20"/>
          <w:szCs w:val="24"/>
        </w:rPr>
        <w:t>4</w:t>
      </w:r>
      <w:r>
        <w:rPr>
          <w:rFonts w:ascii="Times New Roman" w:hAnsi="Times New Roman" w:eastAsia="宋体" w:cs="Times New Roman"/>
          <w:b/>
          <w:color w:val="000000"/>
          <w:kern w:val="0"/>
          <w:sz w:val="20"/>
          <w:szCs w:val="24"/>
        </w:rPr>
        <w:t>，实践课时0）</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7.1 财产清查的概述　</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7.2 财产清查的内容和方法</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7.3 财产清查结果的处理</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知道财产清查的意义和分类；</w:t>
      </w:r>
    </w:p>
    <w:p>
      <w:pPr>
        <w:pStyle w:val="11"/>
        <w:spacing w:line="288" w:lineRule="auto"/>
        <w:ind w:left="200" w:firstLine="200" w:firstLineChars="1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理解财产清查的内容和方法；</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③</w:t>
      </w:r>
      <w:r>
        <w:rPr>
          <w:rFonts w:ascii="Times New Roman" w:hAnsi="Times New Roman" w:eastAsia="宋体" w:cs="Times New Roman"/>
          <w:color w:val="000000"/>
          <w:kern w:val="0"/>
          <w:sz w:val="20"/>
          <w:szCs w:val="24"/>
        </w:rPr>
        <w:t>运用银行存款余额调节表调节未达账项，运用借贷记账法处理财产清查结果。</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教学难点：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银行存款余额调节表　财产清查结果的处理</w:t>
      </w:r>
    </w:p>
    <w:p>
      <w:pPr>
        <w:spacing w:line="288" w:lineRule="auto"/>
        <w:ind w:firstLine="402" w:firstLineChars="200"/>
        <w:rPr>
          <w:rFonts w:ascii="Times New Roman" w:hAnsi="Times New Roman" w:eastAsia="宋体" w:cs="Times New Roman"/>
          <w:b/>
          <w:color w:val="000000"/>
          <w:kern w:val="0"/>
          <w:sz w:val="20"/>
          <w:szCs w:val="24"/>
        </w:rPr>
      </w:pPr>
      <w:r>
        <w:rPr>
          <w:rFonts w:ascii="Times New Roman" w:hAnsi="Times New Roman" w:eastAsia="宋体" w:cs="Times New Roman"/>
          <w:b/>
          <w:color w:val="000000"/>
          <w:kern w:val="0"/>
          <w:sz w:val="20"/>
          <w:szCs w:val="24"/>
        </w:rPr>
        <w:t>第8单元  财务会计报告（理论课时4，实践课时</w:t>
      </w:r>
      <w:r>
        <w:rPr>
          <w:rFonts w:hint="eastAsia" w:ascii="Times New Roman" w:hAnsi="Times New Roman" w:eastAsia="宋体" w:cs="Times New Roman"/>
          <w:b/>
          <w:color w:val="000000"/>
          <w:kern w:val="0"/>
          <w:sz w:val="20"/>
          <w:szCs w:val="24"/>
        </w:rPr>
        <w:t>0</w:t>
      </w:r>
      <w:r>
        <w:rPr>
          <w:rFonts w:ascii="Times New Roman" w:hAnsi="Times New Roman" w:eastAsia="宋体" w:cs="Times New Roman"/>
          <w:b/>
          <w:color w:val="000000"/>
          <w:kern w:val="0"/>
          <w:sz w:val="20"/>
          <w:szCs w:val="24"/>
        </w:rPr>
        <w:t>）</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教学内容：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8.1 财务会计报告概述　</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8.2 资产负债表</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8.3 利润表</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8.4 现金流量表</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8.5 所有者权益变动表</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8.6 会计报表附注</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8.7 会计报告的报送和审批</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能力要求：</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①</w:t>
      </w:r>
      <w:r>
        <w:rPr>
          <w:rFonts w:ascii="Times New Roman" w:hAnsi="Times New Roman" w:eastAsia="宋体" w:cs="Times New Roman"/>
          <w:color w:val="000000"/>
          <w:kern w:val="0"/>
          <w:sz w:val="20"/>
          <w:szCs w:val="24"/>
        </w:rPr>
        <w:t>知道编制财务报告的意义、会计报告编制的基本要求、财务报告的内容及分类、财务报告的报送内容、对象及时限；</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②</w:t>
      </w:r>
      <w:r>
        <w:rPr>
          <w:rFonts w:ascii="Times New Roman" w:hAnsi="Times New Roman" w:eastAsia="宋体" w:cs="Times New Roman"/>
          <w:color w:val="000000"/>
          <w:kern w:val="0"/>
          <w:sz w:val="20"/>
          <w:szCs w:val="24"/>
        </w:rPr>
        <w:t>理解资产负债表、利润表、现金流量表及所者权益变动表的结构及内容；</w:t>
      </w:r>
    </w:p>
    <w:p>
      <w:pPr>
        <w:spacing w:line="288" w:lineRule="auto"/>
        <w:ind w:firstLine="400" w:firstLineChars="200"/>
        <w:rPr>
          <w:rFonts w:ascii="Times New Roman" w:hAnsi="Times New Roman" w:eastAsia="宋体" w:cs="Times New Roman"/>
          <w:color w:val="000000"/>
          <w:kern w:val="0"/>
          <w:sz w:val="20"/>
          <w:szCs w:val="24"/>
        </w:rPr>
      </w:pPr>
      <w:r>
        <w:rPr>
          <w:rFonts w:hint="eastAsia" w:ascii="宋体" w:hAnsi="宋体" w:eastAsia="宋体" w:cs="宋体"/>
          <w:color w:val="000000"/>
          <w:kern w:val="0"/>
          <w:sz w:val="20"/>
          <w:szCs w:val="24"/>
        </w:rPr>
        <w:t>③</w:t>
      </w:r>
      <w:r>
        <w:rPr>
          <w:rFonts w:ascii="Times New Roman" w:hAnsi="Times New Roman" w:eastAsia="宋体" w:cs="Times New Roman"/>
          <w:color w:val="000000"/>
          <w:kern w:val="0"/>
          <w:sz w:val="20"/>
          <w:szCs w:val="24"/>
        </w:rPr>
        <w:t>综合运用编制方法编制利润报表和资产负债表的主要项目。</w:t>
      </w:r>
    </w:p>
    <w:p>
      <w:pPr>
        <w:spacing w:line="288" w:lineRule="auto"/>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教学重点：</w:t>
      </w:r>
    </w:p>
    <w:p>
      <w:pPr>
        <w:spacing w:line="288" w:lineRule="auto"/>
        <w:ind w:firstLine="400" w:firstLineChars="200"/>
        <w:rPr>
          <w:rFonts w:ascii="Times New Roman" w:hAnsi="Times New Roman" w:eastAsia="宋体" w:cs="Times New Roman"/>
          <w:color w:val="000000"/>
          <w:kern w:val="0"/>
          <w:sz w:val="20"/>
          <w:szCs w:val="24"/>
        </w:rPr>
      </w:pPr>
      <w:r>
        <w:rPr>
          <w:rFonts w:ascii="Times New Roman" w:hAnsi="Times New Roman" w:eastAsia="宋体" w:cs="Times New Roman"/>
          <w:color w:val="000000"/>
          <w:kern w:val="0"/>
          <w:sz w:val="20"/>
          <w:szCs w:val="24"/>
        </w:rPr>
        <w:t>资产负债表　利润表</w:t>
      </w:r>
    </w:p>
    <w:p>
      <w:pPr>
        <w:rPr>
          <w:rFonts w:ascii="Times New Roman" w:hAnsi="Times New Roman" w:eastAsia="宋体" w:cs="Times New Roman"/>
          <w:vanish/>
          <w:szCs w:val="24"/>
        </w:rPr>
      </w:pPr>
    </w:p>
    <w:tbl>
      <w:tblPr>
        <w:tblStyle w:val="5"/>
        <w:tblpPr w:leftFromText="180" w:rightFromText="180" w:vertAnchor="text" w:horzAnchor="margin" w:tblpY="791"/>
        <w:tblOverlap w:val="never"/>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6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napToGrid w:val="0"/>
              <w:spacing w:before="156" w:beforeLines="50" w:after="156" w:afterLines="50"/>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总评构成（1+X）</w:t>
            </w:r>
          </w:p>
        </w:tc>
        <w:tc>
          <w:tcPr>
            <w:tcW w:w="3686" w:type="dxa"/>
          </w:tcPr>
          <w:p>
            <w:pPr>
              <w:snapToGrid w:val="0"/>
              <w:spacing w:before="156" w:beforeLines="50" w:after="156" w:afterLines="50"/>
              <w:jc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评价方式</w:t>
            </w:r>
          </w:p>
        </w:tc>
        <w:tc>
          <w:tcPr>
            <w:tcW w:w="1843" w:type="dxa"/>
          </w:tcPr>
          <w:p>
            <w:pPr>
              <w:snapToGrid w:val="0"/>
              <w:spacing w:before="156" w:beforeLines="50" w:after="156" w:afterLines="50"/>
              <w:jc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w:t>
            </w:r>
          </w:p>
        </w:tc>
        <w:tc>
          <w:tcPr>
            <w:tcW w:w="3686" w:type="dxa"/>
          </w:tcPr>
          <w:p>
            <w:pPr>
              <w:snapToGrid w:val="0"/>
              <w:spacing w:before="156" w:beforeLines="50" w:after="156" w:afterLines="50"/>
              <w:jc w:val="center"/>
              <w:rPr>
                <w:rFonts w:ascii="Times New Roman" w:hAnsi="Times New Roman" w:eastAsia="宋体" w:cs="Times New Roman"/>
                <w:bCs/>
                <w:color w:val="000000"/>
                <w:szCs w:val="20"/>
              </w:rPr>
            </w:pPr>
            <w:r>
              <w:rPr>
                <w:rFonts w:ascii="Times New Roman" w:hAnsi="Times New Roman" w:eastAsia="宋体" w:cs="Times New Roman"/>
                <w:sz w:val="20"/>
                <w:szCs w:val="24"/>
              </w:rPr>
              <w:t>期末闭卷考</w:t>
            </w:r>
          </w:p>
        </w:tc>
        <w:tc>
          <w:tcPr>
            <w:tcW w:w="1843" w:type="dxa"/>
          </w:tcPr>
          <w:p>
            <w:pPr>
              <w:snapToGrid w:val="0"/>
              <w:spacing w:before="156" w:beforeLines="50" w:after="156" w:afterLines="50"/>
              <w:jc w:val="center"/>
              <w:rPr>
                <w:rFonts w:ascii="Times New Roman" w:hAnsi="Times New Roman" w:eastAsia="宋体" w:cs="Times New Roman"/>
                <w:bCs/>
                <w:color w:val="000000"/>
                <w:szCs w:val="20"/>
              </w:rPr>
            </w:pPr>
            <w:r>
              <w:rPr>
                <w:rFonts w:ascii="Times New Roman" w:hAnsi="Times New Roman" w:eastAsia="宋体" w:cs="Times New Roman"/>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X1</w:t>
            </w:r>
          </w:p>
        </w:tc>
        <w:tc>
          <w:tcPr>
            <w:tcW w:w="3686" w:type="dxa"/>
          </w:tcPr>
          <w:p>
            <w:pPr>
              <w:snapToGrid w:val="0"/>
              <w:spacing w:before="156" w:beforeLines="50" w:after="156" w:afterLines="50"/>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课堂表现和平时作业</w:t>
            </w:r>
          </w:p>
        </w:tc>
        <w:tc>
          <w:tcPr>
            <w:tcW w:w="1843" w:type="dxa"/>
          </w:tcPr>
          <w:p>
            <w:pPr>
              <w:snapToGrid w:val="0"/>
              <w:spacing w:before="156" w:beforeLines="50" w:after="156" w:afterLines="50"/>
              <w:jc w:val="center"/>
              <w:rPr>
                <w:rFonts w:ascii="Times New Roman" w:hAnsi="Times New Roman" w:eastAsia="宋体" w:cs="Times New Roman"/>
                <w:bCs/>
                <w:color w:val="000000"/>
                <w:szCs w:val="20"/>
              </w:rPr>
            </w:pPr>
            <w:r>
              <w:rPr>
                <w:rFonts w:ascii="Times New Roman" w:hAnsi="Times New Roman" w:eastAsia="宋体" w:cs="Times New Roman"/>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X2</w:t>
            </w:r>
          </w:p>
        </w:tc>
        <w:tc>
          <w:tcPr>
            <w:tcW w:w="3686" w:type="dxa"/>
          </w:tcPr>
          <w:p>
            <w:pPr>
              <w:snapToGrid w:val="0"/>
              <w:spacing w:before="156" w:beforeLines="50" w:after="156" w:afterLines="50"/>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过程考核1</w:t>
            </w:r>
          </w:p>
        </w:tc>
        <w:tc>
          <w:tcPr>
            <w:tcW w:w="1843" w:type="dxa"/>
          </w:tcPr>
          <w:p>
            <w:pPr>
              <w:snapToGrid w:val="0"/>
              <w:spacing w:before="156" w:beforeLines="50" w:after="156" w:afterLines="50"/>
              <w:jc w:val="center"/>
              <w:rPr>
                <w:rFonts w:ascii="Times New Roman" w:hAnsi="Times New Roman" w:eastAsia="宋体" w:cs="Times New Roman"/>
                <w:bCs/>
                <w:color w:val="000000"/>
                <w:szCs w:val="20"/>
              </w:rPr>
            </w:pPr>
            <w:r>
              <w:rPr>
                <w:rFonts w:ascii="Times New Roman" w:hAnsi="Times New Roman" w:eastAsia="宋体" w:cs="Times New Roman"/>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263"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X3</w:t>
            </w:r>
          </w:p>
        </w:tc>
        <w:tc>
          <w:tcPr>
            <w:tcW w:w="3686" w:type="dxa"/>
          </w:tcPr>
          <w:p>
            <w:pPr>
              <w:snapToGrid w:val="0"/>
              <w:spacing w:before="156" w:beforeLines="50" w:after="156" w:afterLines="50"/>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过程考核2</w:t>
            </w:r>
          </w:p>
        </w:tc>
        <w:tc>
          <w:tcPr>
            <w:tcW w:w="1843" w:type="dxa"/>
          </w:tcPr>
          <w:p>
            <w:pPr>
              <w:snapToGrid w:val="0"/>
              <w:spacing w:before="156" w:beforeLines="50" w:after="156" w:afterLines="50"/>
              <w:jc w:val="center"/>
              <w:rPr>
                <w:rFonts w:ascii="Times New Roman" w:hAnsi="Times New Roman" w:eastAsia="宋体" w:cs="Times New Roman"/>
                <w:bCs/>
                <w:color w:val="000000"/>
                <w:szCs w:val="20"/>
              </w:rPr>
            </w:pPr>
            <w:r>
              <w:rPr>
                <w:rFonts w:ascii="Times New Roman" w:hAnsi="Times New Roman" w:eastAsia="宋体" w:cs="Times New Roman"/>
                <w:bCs/>
                <w:color w:val="000000"/>
                <w:szCs w:val="20"/>
              </w:rPr>
              <w:t>20%</w:t>
            </w:r>
          </w:p>
        </w:tc>
      </w:tr>
    </w:tbl>
    <w:p>
      <w:pPr>
        <w:widowControl/>
        <w:spacing w:before="156" w:beforeLines="50" w:after="156" w:afterLines="50" w:line="288" w:lineRule="auto"/>
        <w:ind w:firstLine="360" w:firstLineChars="15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、评价方式与成绩</w:t>
      </w:r>
    </w:p>
    <w:tbl>
      <w:tblPr>
        <w:tblStyle w:val="5"/>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撰写人：</w:t>
            </w:r>
          </w:p>
        </w:tc>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系主任审核：</w:t>
            </w:r>
          </w:p>
        </w:tc>
      </w:tr>
      <w:tr>
        <w:tblPrEx>
          <w:tblLayout w:type="fixed"/>
          <w:tblCellMar>
            <w:top w:w="0" w:type="dxa"/>
            <w:left w:w="108" w:type="dxa"/>
            <w:bottom w:w="0" w:type="dxa"/>
            <w:right w:w="108" w:type="dxa"/>
          </w:tblCellMar>
        </w:tblPrEx>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时间：201</w:t>
            </w:r>
            <w:r>
              <w:rPr>
                <w:rFonts w:hint="eastAsia" w:ascii="Times New Roman" w:hAnsi="Times New Roman" w:cs="Times New Roman"/>
                <w:sz w:val="28"/>
                <w:szCs w:val="28"/>
              </w:rPr>
              <w:t>8</w:t>
            </w:r>
            <w:r>
              <w:rPr>
                <w:rFonts w:ascii="Times New Roman" w:hAnsi="Times New Roman" w:cs="Times New Roman"/>
                <w:sz w:val="28"/>
                <w:szCs w:val="28"/>
              </w:rPr>
              <w:t>年</w:t>
            </w:r>
            <w:r>
              <w:rPr>
                <w:rFonts w:hint="eastAsia" w:ascii="Times New Roman" w:hAnsi="Times New Roman" w:cs="Times New Roman"/>
                <w:sz w:val="28"/>
                <w:szCs w:val="28"/>
              </w:rPr>
              <w:t>12</w:t>
            </w:r>
            <w:r>
              <w:rPr>
                <w:rFonts w:ascii="Times New Roman" w:hAnsi="Times New Roman" w:cs="Times New Roman"/>
                <w:sz w:val="28"/>
                <w:szCs w:val="28"/>
              </w:rPr>
              <w:t>月2</w:t>
            </w:r>
            <w:r>
              <w:rPr>
                <w:rFonts w:hint="eastAsia" w:ascii="Times New Roman" w:hAnsi="Times New Roman" w:cs="Times New Roman"/>
                <w:sz w:val="28"/>
                <w:szCs w:val="28"/>
              </w:rPr>
              <w:t>8</w:t>
            </w:r>
            <w:r>
              <w:rPr>
                <w:rFonts w:ascii="Times New Roman" w:hAnsi="Times New Roman" w:cs="Times New Roman"/>
                <w:sz w:val="28"/>
                <w:szCs w:val="28"/>
              </w:rPr>
              <w:t>日</w:t>
            </w:r>
          </w:p>
        </w:tc>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时间：</w:t>
            </w:r>
          </w:p>
        </w:tc>
      </w:tr>
    </w:tbl>
    <w:p>
      <w:pPr>
        <w:widowControl/>
        <w:jc w:val="left"/>
        <w:rPr>
          <w:rFonts w:ascii="Times New Roman" w:hAnsi="Times New Roman" w:cs="Times New Roman"/>
        </w:rPr>
      </w:pP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8053"/>
    <w:multiLevelType w:val="singleLevel"/>
    <w:tmpl w:val="595C805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EC"/>
    <w:rsid w:val="002252EC"/>
    <w:rsid w:val="00295422"/>
    <w:rsid w:val="002F3436"/>
    <w:rsid w:val="005500E7"/>
    <w:rsid w:val="006C22DC"/>
    <w:rsid w:val="00A66693"/>
    <w:rsid w:val="00D63DE5"/>
    <w:rsid w:val="00EC7CEE"/>
    <w:rsid w:val="280C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widowControl/>
      <w:shd w:val="clear" w:color="auto" w:fill="FFFFFF"/>
      <w:snapToGrid w:val="0"/>
      <w:spacing w:before="156" w:beforeLines="50" w:after="156" w:afterLines="50" w:line="288" w:lineRule="auto"/>
      <w:jc w:val="center"/>
      <w:outlineLvl w:val="0"/>
    </w:pPr>
    <w:rPr>
      <w:rFonts w:hAnsi="宋体" w:cs="宋体"/>
      <w:b/>
      <w:bCs/>
      <w:kern w:val="0"/>
      <w:sz w:val="28"/>
      <w:szCs w:val="30"/>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qFormat/>
    <w:uiPriority w:val="0"/>
    <w:rPr>
      <w:rFonts w:hAnsi="宋体" w:cs="宋体"/>
      <w:b/>
      <w:bCs/>
      <w:kern w:val="0"/>
      <w:sz w:val="28"/>
      <w:szCs w:val="30"/>
      <w:shd w:val="clear" w:color="auto" w:fill="FFFFFF"/>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2714</Characters>
  <Lines>22</Lines>
  <Paragraphs>6</Paragraphs>
  <TotalTime>12</TotalTime>
  <ScaleCrop>false</ScaleCrop>
  <LinksUpToDate>false</LinksUpToDate>
  <CharactersWithSpaces>3184</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2019-02-25T00:12:00Z</dcterms:created>
  <dc:creator>徐洁</dc:creator>
  <cp:lastModifiedBy>美美</cp:lastModifiedBy>
  <dcterms:modified xsi:type="dcterms:W3CDTF">2019-03-04T03:07:58Z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