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color w:val="000000" w:themeColor="text1"/>
          <w:kern w:val="0"/>
          <w:szCs w:val="21"/>
          <w14:textFill>
            <w14:solidFill>
              <w14:schemeClr w14:val="tx1"/>
            </w14:solidFill>
          </w14:textFill>
        </w:rPr>
      </w:pPr>
      <w:bookmarkStart w:id="1" w:name="_GoBack"/>
      <w:bookmarkEnd w:id="1"/>
      <w:r>
        <w:rPr>
          <w:rFonts w:hint="eastAsia" w:asciiTheme="minorEastAsia" w:hAnsiTheme="minorEastAsia" w:eastAsiaTheme="minorEastAsia"/>
          <w:bCs/>
          <w:color w:val="000000" w:themeColor="text1"/>
          <w:kern w:val="0"/>
          <w:sz w:val="40"/>
          <w:szCs w:val="40"/>
          <w14:textFill>
            <w14:solidFill>
              <w14:schemeClr w14:val="tx1"/>
            </w14:solidFill>
          </w14:textFill>
        </w:rPr>
        <w:t xml:space="preserve"> </w:t>
      </w: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color w:val="000000" w:themeColor="text1"/>
          <w:kern w:val="0"/>
          <w:sz w:val="40"/>
          <w:szCs w:val="40"/>
          <w14:textFill>
            <w14:solidFill>
              <w14:schemeClr w14:val="tx1"/>
            </w14:solidFill>
          </w14:textFill>
        </w:rPr>
        <w:t xml:space="preserve">     </w:t>
      </w:r>
    </w:p>
    <w:p>
      <w:pPr>
        <w:spacing w:line="288" w:lineRule="auto"/>
        <w:jc w:val="center"/>
        <w:rPr>
          <w:color w:val="000000" w:themeColor="text1"/>
          <w:sz w:val="28"/>
          <w:szCs w:val="30"/>
          <w14:textFill>
            <w14:solidFill>
              <w14:schemeClr w14:val="tx1"/>
            </w14:solidFill>
          </w14:textFill>
        </w:rPr>
      </w:pPr>
      <w:r>
        <w:rPr>
          <w:rFonts w:hint="eastAsia"/>
          <w:color w:val="000000" w:themeColor="text1"/>
          <w:sz w:val="28"/>
          <w:szCs w:val="30"/>
          <w14:textFill>
            <w14:solidFill>
              <w14:schemeClr w14:val="tx1"/>
            </w14:solidFill>
          </w14:textFill>
        </w:rPr>
        <w:t>【艺术鉴赏】</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color w:val="000000" w:themeColor="text1"/>
          <w:sz w:val="28"/>
          <w:szCs w:val="30"/>
          <w14:textFill>
            <w14:solidFill>
              <w14:schemeClr w14:val="tx1"/>
            </w14:solidFill>
          </w14:textFill>
        </w:rPr>
        <w:t>【Art Appreciation】</w:t>
      </w:r>
      <w:bookmarkStart w:id="0" w:name="a2"/>
      <w:bookmarkEnd w:id="0"/>
    </w:p>
    <w:p>
      <w:pPr>
        <w:spacing w:before="156" w:beforeLines="50" w:after="156" w:afterLines="50" w:line="288" w:lineRule="auto"/>
        <w:ind w:firstLine="360" w:firstLineChars="150"/>
        <w:rPr>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基本信息（必填项）</w:t>
      </w:r>
    </w:p>
    <w:p>
      <w:pPr>
        <w:snapToGrid w:val="0"/>
        <w:spacing w:line="288" w:lineRule="auto"/>
        <w:ind w:firstLine="392" w:firstLineChars="196"/>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课程代码：</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2030385</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Cs w:val="21"/>
          <w14:textFill>
            <w14:solidFill>
              <w14:schemeClr w14:val="tx1"/>
            </w14:solidFill>
          </w14:textFill>
        </w:rPr>
      </w:pPr>
      <w:r>
        <w:rPr>
          <w:bCs/>
          <w:color w:val="000000" w:themeColor="text1"/>
          <w:sz w:val="20"/>
          <w:szCs w:val="20"/>
          <w14:textFill>
            <w14:solidFill>
              <w14:schemeClr w14:val="tx1"/>
            </w14:solidFill>
          </w14:textFill>
        </w:rPr>
        <w:t>课程学分：</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32</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Cs w:val="21"/>
          <w14:textFill>
            <w14:solidFill>
              <w14:schemeClr w14:val="tx1"/>
            </w14:solidFill>
          </w14:textFill>
        </w:rPr>
      </w:pPr>
      <w:r>
        <w:rPr>
          <w:bCs/>
          <w:color w:val="000000" w:themeColor="text1"/>
          <w:sz w:val="20"/>
          <w:szCs w:val="20"/>
          <w14:textFill>
            <w14:solidFill>
              <w14:schemeClr w14:val="tx1"/>
            </w14:solidFill>
          </w14:textFill>
        </w:rPr>
        <w:t>面向专业：</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新闻全媒体B16-2.B16-1</w:t>
      </w:r>
      <w:r>
        <w:rPr>
          <w:color w:val="000000" w:themeColor="text1"/>
          <w:sz w:val="20"/>
          <w:szCs w:val="20"/>
          <w14:textFill>
            <w14:solidFill>
              <w14:schemeClr w14:val="tx1"/>
            </w14:solidFill>
          </w14:textFill>
        </w:rPr>
        <w:t>】</w:t>
      </w:r>
    </w:p>
    <w:p>
      <w:pPr>
        <w:snapToGrid w:val="0"/>
        <w:spacing w:line="288" w:lineRule="auto"/>
        <w:ind w:firstLine="392" w:firstLineChars="196"/>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课程性质：</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院级必修课</w:t>
      </w:r>
      <w:r>
        <w:rPr>
          <w:color w:val="000000" w:themeColor="text1"/>
          <w:sz w:val="20"/>
          <w:szCs w:val="20"/>
          <w14:textFill>
            <w14:solidFill>
              <w14:schemeClr w14:val="tx1"/>
            </w14:solidFill>
          </w14:textFill>
        </w:rPr>
        <w:t>】</w:t>
      </w:r>
    </w:p>
    <w:p>
      <w:pPr>
        <w:snapToGrid w:val="0"/>
        <w:spacing w:line="288" w:lineRule="auto"/>
        <w:ind w:firstLine="392" w:firstLineChars="196"/>
        <w:rPr>
          <w:bCs/>
          <w:color w:val="000000" w:themeColor="text1"/>
          <w:szCs w:val="21"/>
          <w14:textFill>
            <w14:solidFill>
              <w14:schemeClr w14:val="tx1"/>
            </w14:solidFill>
          </w14:textFill>
        </w:rPr>
      </w:pPr>
      <w:r>
        <w:rPr>
          <w:bCs/>
          <w:color w:val="000000" w:themeColor="text1"/>
          <w:sz w:val="20"/>
          <w:szCs w:val="20"/>
          <w14:textFill>
            <w14:solidFill>
              <w14:schemeClr w14:val="tx1"/>
            </w14:solidFill>
          </w14:textFill>
        </w:rPr>
        <w:t>开课院系：</w:t>
      </w:r>
      <w:r>
        <w:rPr>
          <w:rFonts w:hint="eastAsia"/>
          <w:bCs/>
          <w:color w:val="000000" w:themeColor="text1"/>
          <w:sz w:val="20"/>
          <w:szCs w:val="20"/>
          <w14:textFill>
            <w14:solidFill>
              <w14:schemeClr w14:val="tx1"/>
            </w14:solidFill>
          </w14:textFill>
        </w:rPr>
        <w:t>新闻传播学院</w:t>
      </w:r>
    </w:p>
    <w:p>
      <w:pPr>
        <w:snapToGrid w:val="0"/>
        <w:spacing w:line="288" w:lineRule="auto"/>
        <w:ind w:firstLine="392" w:firstLineChars="196"/>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使用教材：</w:t>
      </w:r>
      <w:r>
        <w:rPr>
          <w:rFonts w:hint="eastAsia"/>
          <w:bCs/>
          <w:color w:val="000000" w:themeColor="text1"/>
          <w:sz w:val="20"/>
          <w:szCs w:val="20"/>
          <w14:textFill>
            <w14:solidFill>
              <w14:schemeClr w14:val="tx1"/>
            </w14:solidFill>
          </w14:textFill>
        </w:rPr>
        <w:t>自编教材</w:t>
      </w:r>
    </w:p>
    <w:p>
      <w:pPr>
        <w:snapToGrid w:val="0"/>
        <w:spacing w:line="288" w:lineRule="auto"/>
        <w:ind w:firstLine="792" w:firstLineChars="396"/>
        <w:rPr>
          <w:color w:val="000000" w:themeColor="text1"/>
          <w:szCs w:val="21"/>
          <w14:textFill>
            <w14:solidFill>
              <w14:schemeClr w14:val="tx1"/>
            </w14:solidFill>
          </w14:textFill>
        </w:rPr>
      </w:pPr>
      <w:r>
        <w:rPr>
          <w:color w:val="000000" w:themeColor="text1"/>
          <w:sz w:val="20"/>
          <w:szCs w:val="20"/>
          <w14:textFill>
            <w14:solidFill>
              <w14:schemeClr w14:val="tx1"/>
            </w14:solidFill>
          </w14:textFill>
        </w:rPr>
        <w:t>教材【书名作者出版社版本信息】</w:t>
      </w:r>
    </w:p>
    <w:p>
      <w:pPr>
        <w:snapToGrid w:val="0"/>
        <w:spacing w:line="288" w:lineRule="auto"/>
        <w:ind w:left="718" w:leftChars="342" w:firstLine="100" w:firstLineChars="50"/>
        <w:rPr>
          <w:color w:val="000000" w:themeColor="text1"/>
          <w:szCs w:val="21"/>
          <w14:textFill>
            <w14:solidFill>
              <w14:schemeClr w14:val="tx1"/>
            </w14:solidFill>
          </w14:textFill>
        </w:rPr>
      </w:pPr>
      <w:r>
        <w:rPr>
          <w:color w:val="000000" w:themeColor="text1"/>
          <w:sz w:val="20"/>
          <w:szCs w:val="20"/>
          <w14:textFill>
            <w14:solidFill>
              <w14:schemeClr w14:val="tx1"/>
            </w14:solidFill>
          </w14:textFill>
        </w:rPr>
        <w:t>参考</w:t>
      </w:r>
      <w:r>
        <w:rPr>
          <w:rFonts w:hint="eastAsia"/>
          <w:color w:val="000000" w:themeColor="text1"/>
          <w:sz w:val="20"/>
          <w:szCs w:val="20"/>
          <w14:textFill>
            <w14:solidFill>
              <w14:schemeClr w14:val="tx1"/>
            </w14:solidFill>
          </w14:textFill>
        </w:rPr>
        <w:t>书目</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世界音乐欣赏 聆听音乐 中西方音乐史等</w:t>
      </w:r>
      <w:r>
        <w:rPr>
          <w:color w:val="000000" w:themeColor="text1"/>
          <w:sz w:val="20"/>
          <w:szCs w:val="20"/>
          <w14:textFill>
            <w14:solidFill>
              <w14:schemeClr w14:val="tx1"/>
            </w14:solidFill>
          </w14:textFill>
        </w:rPr>
        <w:t>】</w:t>
      </w:r>
    </w:p>
    <w:p>
      <w:pPr>
        <w:snapToGrid w:val="0"/>
        <w:spacing w:line="288" w:lineRule="auto"/>
        <w:ind w:firstLine="392" w:firstLineChars="196"/>
        <w:rPr>
          <w:bCs/>
          <w:color w:val="000000" w:themeColor="text1"/>
          <w:sz w:val="20"/>
          <w:szCs w:val="20"/>
          <w14:textFill>
            <w14:solidFill>
              <w14:schemeClr w14:val="tx1"/>
            </w14:solidFill>
          </w14:textFill>
        </w:rPr>
      </w:pPr>
      <w:r>
        <w:rPr>
          <w:rFonts w:hint="eastAsia"/>
          <w:bCs/>
          <w:color w:val="000000" w:themeColor="text1"/>
          <w:sz w:val="20"/>
          <w:szCs w:val="20"/>
          <w14:textFill>
            <w14:solidFill>
              <w14:schemeClr w14:val="tx1"/>
            </w14:solidFill>
          </w14:textFill>
        </w:rPr>
        <w:t>课程网站网址：</w:t>
      </w:r>
    </w:p>
    <w:p>
      <w:pPr>
        <w:snapToGrid w:val="0"/>
        <w:spacing w:line="288" w:lineRule="auto"/>
        <w:ind w:firstLine="392" w:firstLineChars="19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https://elearning.gench.edu.cn:8443/webapps/blackboard/content/listContentEditable.jsp?content_id=_75829_1&amp;course_id=_12867_1&amp;mode=reset</w:t>
      </w:r>
    </w:p>
    <w:p>
      <w:pPr>
        <w:adjustRightInd w:val="0"/>
        <w:snapToGrid w:val="0"/>
        <w:spacing w:line="288" w:lineRule="auto"/>
        <w:ind w:firstLine="392" w:firstLineChars="196"/>
        <w:rPr>
          <w:color w:val="000000" w:themeColor="text1"/>
          <w:sz w:val="20"/>
          <w:szCs w:val="20"/>
          <w14:textFill>
            <w14:solidFill>
              <w14:schemeClr w14:val="tx1"/>
            </w14:solidFill>
          </w14:textFill>
        </w:rPr>
      </w:pPr>
      <w:r>
        <w:rPr>
          <w:bCs/>
          <w:color w:val="000000" w:themeColor="text1"/>
          <w:sz w:val="20"/>
          <w:szCs w:val="20"/>
          <w14:textFill>
            <w14:solidFill>
              <w14:schemeClr w14:val="tx1"/>
            </w14:solidFill>
          </w14:textFill>
        </w:rPr>
        <w:t>先修课程：</w:t>
      </w:r>
      <w:r>
        <w:rPr>
          <w:color w:val="000000" w:themeColor="text1"/>
          <w:sz w:val="20"/>
          <w:szCs w:val="20"/>
          <w14:textFill>
            <w14:solidFill>
              <w14:schemeClr w14:val="tx1"/>
            </w14:solidFill>
          </w14:textFill>
        </w:rPr>
        <w:t>【需列出先修课程的名称、代码和学分数</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例：高等数学A 010001（5）】</w:t>
      </w:r>
    </w:p>
    <w:p>
      <w:pPr>
        <w:adjustRightInd w:val="0"/>
        <w:snapToGrid w:val="0"/>
        <w:spacing w:before="156" w:beforeLines="50" w:after="156" w:afterLines="50" w:line="288" w:lineRule="auto"/>
        <w:ind w:firstLine="348" w:firstLineChars="145"/>
        <w:rPr>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课程简介（必填项）</w:t>
      </w:r>
    </w:p>
    <w:p>
      <w:pPr>
        <w:snapToGrid w:val="0"/>
        <w:spacing w:line="288" w:lineRule="auto"/>
        <w:ind w:firstLine="400" w:firstLineChars="2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此处概述课程</w:t>
      </w:r>
      <w:r>
        <w:rPr>
          <w:rFonts w:hint="eastAsia"/>
          <w:color w:val="000000" w:themeColor="text1"/>
          <w:sz w:val="20"/>
          <w:szCs w:val="20"/>
          <w14:textFill>
            <w14:solidFill>
              <w14:schemeClr w14:val="tx1"/>
            </w14:solidFill>
          </w14:textFill>
        </w:rPr>
        <w:t>的研究对象及课程在专业中的作用与地位</w:t>
      </w:r>
      <w:r>
        <w:rPr>
          <w:color w:val="000000" w:themeColor="text1"/>
          <w:sz w:val="20"/>
          <w:szCs w:val="20"/>
          <w14:textFill>
            <w14:solidFill>
              <w14:schemeClr w14:val="tx1"/>
            </w14:solidFill>
          </w14:textFill>
        </w:rPr>
        <w:t>，使学生对该课程有一个总体了解。</w:t>
      </w:r>
      <w:r>
        <w:rPr>
          <w:rFonts w:hint="eastAsia"/>
          <w:color w:val="000000" w:themeColor="text1"/>
          <w:sz w:val="20"/>
          <w:szCs w:val="20"/>
          <w14:textFill>
            <w14:solidFill>
              <w14:schemeClr w14:val="tx1"/>
            </w14:solidFill>
          </w14:textFill>
        </w:rPr>
        <w:t>（300-400字）</w:t>
      </w:r>
    </w:p>
    <w:p>
      <w:pPr>
        <w:snapToGrid w:val="0"/>
        <w:spacing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音乐鉴赏这一门课程通过音乐聆听与视频、绘画等艺术的结合，教会学生学习聆听艺术的方法，使大家能够被听觉与视觉等艺术表现力所征服。大家可以通过该门课讲聆听与视觉艺术相遇，并在学习艺术鉴赏这门课的的同时也了解到一定艺术的历史，例如音乐史等。在许多的艺术鉴赏课程中，学生都是被要求学习一些音乐技术方面的东西（例如什么是主和弦）和一些特定的事实（例如贝多芬写了几首交响曲），而不是主动的。但是，这学期的艺术鉴赏是完全不同的。学生在这里被鼓励，实际上是被要求通过书里书外的各种手段，在与听觉艺术的对话中成为一个主动的参与者。并将其听觉与自身的广告专业知识结合，通过积累与尝试，再形成自身的艺术创作灵感。</w:t>
      </w:r>
    </w:p>
    <w:p>
      <w:pPr>
        <w:snapToGrid w:val="0"/>
        <w:spacing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音乐鉴赏的课程共有16周，除开考试也只有10周多的课程，所以在一学期的艺术鉴赏时间有限。世界上优秀的大师艺术作品又浩瀚无边。该课程建设会针对艺术鉴赏的知识性特点划分为短小的结构章节介绍给大家，更便于学生们的理解、学习与消化。其中，课堂上的练习与艺术作品都是紧密结合，要求学生们在其中成为艺术交流中的参与者，作曲家与听众的交流，插画大师与观众的交流，导演与观众的对话等，而听众或观众在很长的时间段中做出反应。最后，学生们具备了这些新发展的聆听或观看技巧，学生将会很舒服的来到音乐厅，带着更大信心和乐趣聆听古典和流行音乐，来到剧院去观看影视及舞台艺术表演等。可以说，这门课是为了当前我们学习艺术鉴赏知识的课程，但其实这门课的目的是为学生们终生的音乐聆听、视觉鉴赏和乐趣做准备。尤其为当代大学生带来更多艺术灵感的启迪与积累。</w:t>
      </w: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选课建议（必填项）</w:t>
      </w:r>
    </w:p>
    <w:p>
      <w:pPr>
        <w:snapToGrid w:val="0"/>
        <w:spacing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任何年级的在校大学生</w:t>
      </w: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专业毕业要求</w:t>
            </w:r>
          </w:p>
        </w:tc>
        <w:tc>
          <w:tcPr>
            <w:tcW w:w="727"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LO11：</w:t>
            </w:r>
            <w:r>
              <w:rPr>
                <w:color w:val="000000" w:themeColor="text1"/>
                <w:kern w:val="0"/>
                <w:sz w:val="20"/>
                <w:szCs w:val="20"/>
                <w14:textFill>
                  <w14:solidFill>
                    <w14:schemeClr w14:val="tx1"/>
                  </w14:solidFill>
                </w14:textFill>
              </w:rPr>
              <w:t xml:space="preserve"> </w:t>
            </w:r>
          </w:p>
        </w:tc>
        <w:tc>
          <w:tcPr>
            <w:tcW w:w="727" w:type="dxa"/>
            <w:vAlign w:val="center"/>
          </w:tcPr>
          <w:p>
            <w:pPr>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LO21：</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LO31：</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LO32：</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LO33：</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LO34：</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LO35：</w:t>
            </w:r>
            <w:r>
              <w:rPr>
                <w:rFonts w:hint="eastAsia" w:ascii="宋体" w:hAnsi="宋体"/>
                <w:color w:val="000000" w:themeColor="text1"/>
                <w14:textFill>
                  <w14:solidFill>
                    <w14:schemeClr w14:val="tx1"/>
                  </w14:solidFill>
                </w14:textFill>
              </w:rPr>
              <w:t>人文素养：对文学、绘画、影视、音乐、戏剧等文化艺术具有基本的鉴赏能力，体现出媒介内容制作的质量和品位。</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r>
              <w:rPr>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LO36：</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LO41：</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LO51：</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LO61：</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LO71：</w:t>
            </w:r>
            <w:r>
              <w:rPr>
                <w:rFonts w:hint="eastAsia" w:ascii="宋体" w:hAnsi="宋体"/>
                <w:color w:val="000000" w:themeColor="text1"/>
                <w14:textFill>
                  <w14:solidFill>
                    <w14:schemeClr w14:val="tx1"/>
                  </w14:solidFill>
                </w14:textFill>
              </w:rPr>
              <w:t>爱党爱国：了解祖国的优秀传统文化和革命历史，构建爱党爱国的理想信念。</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r>
              <w:rPr>
                <w:color w:val="000000" w:themeColor="text1"/>
                <w:kern w:val="0"/>
                <w:sz w:val="20"/>
                <w:szCs w:val="20"/>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LO81：</w:t>
            </w:r>
            <w:r>
              <w:rPr>
                <w:rFonts w:hint="eastAsia" w:ascii="宋体" w:hAnsi="宋体"/>
                <w:color w:val="000000" w:themeColor="text1"/>
                <w14:textFill>
                  <w14:solidFill>
                    <w14:schemeClr w14:val="tx1"/>
                  </w14:solidFill>
                </w14:textFill>
              </w:rPr>
              <w:t>理解其他国家历史文化，有跨文化交流能力。</w:t>
            </w:r>
          </w:p>
        </w:tc>
        <w:tc>
          <w:tcPr>
            <w:tcW w:w="727" w:type="dxa"/>
            <w:vAlign w:val="center"/>
          </w:tcPr>
          <w:p>
            <w:pPr>
              <w:widowControl/>
              <w:jc w:val="center"/>
              <w:rPr>
                <w:rFonts w:ascii="仿宋" w:hAnsi="仿宋" w:eastAsia="仿宋" w:cs="宋体"/>
                <w:color w:val="000000" w:themeColor="text1"/>
                <w:kern w:val="0"/>
                <w:sz w:val="24"/>
                <w:szCs w:val="20"/>
                <w14:textFill>
                  <w14:solidFill>
                    <w14:schemeClr w14:val="tx1"/>
                  </w14:solidFill>
                </w14:textFill>
              </w:rPr>
            </w:pPr>
            <w:r>
              <w:rPr>
                <w:color w:val="000000" w:themeColor="text1"/>
                <w:kern w:val="0"/>
                <w:sz w:val="20"/>
                <w:szCs w:val="20"/>
                <w14:textFill>
                  <w14:solidFill>
                    <w14:schemeClr w14:val="tx1"/>
                  </w14:solidFill>
                </w14:textFill>
              </w:rPr>
              <w:sym w:font="Wingdings 2" w:char="F098"/>
            </w:r>
          </w:p>
        </w:tc>
      </w:tr>
    </w:tbl>
    <w:p>
      <w:pPr>
        <w:rPr>
          <w:color w:val="000000" w:themeColor="text1"/>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r>
        <w:rPr>
          <w:rFonts w:ascii="黑体" w:hAnsi="宋体" w:eastAsia="黑体"/>
          <w:color w:val="000000" w:themeColor="text1"/>
          <w:sz w:val="24"/>
          <w14:textFill>
            <w14:solidFill>
              <w14:schemeClr w14:val="tx1"/>
            </w14:solidFill>
          </w14:textFill>
        </w:rPr>
        <w:t>（必填项）（</w:t>
      </w:r>
      <w:r>
        <w:rPr>
          <w:rFonts w:hint="eastAsia" w:ascii="黑体" w:hAnsi="宋体" w:eastAsia="黑体"/>
          <w:color w:val="000000" w:themeColor="text1"/>
          <w:sz w:val="24"/>
          <w14:textFill>
            <w14:solidFill>
              <w14:schemeClr w14:val="tx1"/>
            </w14:solidFill>
          </w14:textFill>
        </w:rPr>
        <w:t>预期学习成果</w:t>
      </w:r>
      <w:r>
        <w:rPr>
          <w:rFonts w:ascii="黑体" w:hAnsi="宋体" w:eastAsia="黑体"/>
          <w:color w:val="000000" w:themeColor="text1"/>
          <w:sz w:val="24"/>
          <w14:textFill>
            <w14:solidFill>
              <w14:schemeClr w14:val="tx1"/>
            </w14:solidFill>
          </w14:textFill>
        </w:rPr>
        <w:t>要可测量/能够证明）</w:t>
      </w:r>
    </w:p>
    <w:p>
      <w:pPr>
        <w:spacing w:line="360" w:lineRule="auto"/>
        <w:ind w:firstLine="500" w:firstLineChars="250"/>
        <w:rPr>
          <w:color w:val="000000" w:themeColor="text1"/>
          <w:sz w:val="20"/>
          <w:szCs w:val="20"/>
          <w:highlight w:val="yellow"/>
          <w14:textFill>
            <w14:solidFill>
              <w14:schemeClr w14:val="tx1"/>
            </w14:solidFill>
          </w14:textFill>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序号</w:t>
            </w:r>
          </w:p>
        </w:tc>
        <w:tc>
          <w:tcPr>
            <w:tcW w:w="1175" w:type="dxa"/>
            <w:shd w:val="clear" w:color="auto" w:fill="auto"/>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课程预期</w:t>
            </w:r>
          </w:p>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学习成果</w:t>
            </w:r>
          </w:p>
        </w:tc>
        <w:tc>
          <w:tcPr>
            <w:tcW w:w="2470" w:type="dxa"/>
            <w:shd w:val="clear" w:color="auto" w:fill="auto"/>
            <w:vAlign w:val="center"/>
          </w:tcPr>
          <w:p>
            <w:pPr>
              <w:snapToGrid w:val="0"/>
              <w:spacing w:line="288" w:lineRule="auto"/>
              <w:jc w:val="center"/>
              <w:rPr>
                <w:color w:val="000000" w:themeColor="text1"/>
                <w:sz w:val="20"/>
                <w:szCs w:val="20"/>
                <w:highlight w:val="yellow"/>
                <w14:textFill>
                  <w14:solidFill>
                    <w14:schemeClr w14:val="tx1"/>
                  </w14:solidFill>
                </w14:textFill>
              </w:rPr>
            </w:pPr>
            <w:r>
              <w:rPr>
                <w:rFonts w:hint="eastAsia"/>
                <w:color w:val="000000" w:themeColor="text1"/>
                <w:sz w:val="20"/>
                <w:szCs w:val="20"/>
                <w14:textFill>
                  <w14:solidFill>
                    <w14:schemeClr w14:val="tx1"/>
                  </w14:solidFill>
                </w14:textFill>
              </w:rPr>
              <w:t>课程目标</w:t>
            </w:r>
          </w:p>
          <w:p>
            <w:pPr>
              <w:snapToGrid w:val="0"/>
              <w:spacing w:line="288" w:lineRule="auto"/>
              <w:jc w:val="center"/>
              <w:rPr>
                <w:color w:val="000000" w:themeColor="text1"/>
                <w:sz w:val="20"/>
                <w:szCs w:val="20"/>
                <w14:textFill>
                  <w14:solidFill>
                    <w14:schemeClr w14:val="tx1"/>
                  </w14:solidFill>
                </w14:textFill>
              </w:rPr>
            </w:pPr>
          </w:p>
        </w:tc>
        <w:tc>
          <w:tcPr>
            <w:tcW w:w="2199" w:type="dxa"/>
            <w:shd w:val="clear" w:color="auto" w:fill="auto"/>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教与学方式</w:t>
            </w:r>
          </w:p>
        </w:tc>
        <w:tc>
          <w:tcPr>
            <w:tcW w:w="1276" w:type="dxa"/>
            <w:shd w:val="clear" w:color="auto" w:fill="auto"/>
            <w:vAlign w:val="center"/>
          </w:tcPr>
          <w:p>
            <w:pPr>
              <w:snapToGrid w:val="0"/>
              <w:spacing w:line="288" w:lineRule="auto"/>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1175" w:type="dxa"/>
            <w:shd w:val="clear" w:color="auto" w:fill="auto"/>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LO35</w:t>
            </w:r>
          </w:p>
        </w:tc>
        <w:tc>
          <w:tcPr>
            <w:tcW w:w="2470" w:type="dxa"/>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宋体" w:hAnsi="宋体"/>
                <w:color w:val="000000" w:themeColor="text1"/>
                <w14:textFill>
                  <w14:solidFill>
                    <w14:schemeClr w14:val="tx1"/>
                  </w14:solidFill>
                </w14:textFill>
              </w:rPr>
              <w:t>人文素养：对文学、绘画、影视、音乐、戏剧等文化艺术具有基本的鉴赏能力，体现出媒介内容制作的质量和品位。</w:t>
            </w:r>
          </w:p>
        </w:tc>
        <w:tc>
          <w:tcPr>
            <w:tcW w:w="2199"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讲解与播放艺术类音频视频，并通过习题练习与作品制作结合</w:t>
            </w:r>
          </w:p>
        </w:tc>
        <w:tc>
          <w:tcPr>
            <w:tcW w:w="1276"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艺术作品赏析汇报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1175" w:type="dxa"/>
            <w:vMerge w:val="restart"/>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LO71</w:t>
            </w:r>
          </w:p>
        </w:tc>
        <w:tc>
          <w:tcPr>
            <w:tcW w:w="2470" w:type="dxa"/>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宋体" w:hAnsi="宋体"/>
                <w:color w:val="000000" w:themeColor="text1"/>
                <w14:textFill>
                  <w14:solidFill>
                    <w14:schemeClr w14:val="tx1"/>
                  </w14:solidFill>
                </w14:textFill>
              </w:rPr>
              <w:t>爱党爱国：了解祖国的优秀传统文化和革命历史，构建爱党爱国的理想信念。</w:t>
            </w:r>
          </w:p>
        </w:tc>
        <w:tc>
          <w:tcPr>
            <w:tcW w:w="2199"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讲解与介绍红歌经典音乐与视频</w:t>
            </w:r>
          </w:p>
        </w:tc>
        <w:tc>
          <w:tcPr>
            <w:tcW w:w="1276" w:type="dxa"/>
            <w:shd w:val="clear" w:color="auto" w:fill="auto"/>
          </w:tcPr>
          <w:p>
            <w:pPr>
              <w:snapToGrid w:val="0"/>
              <w:spacing w:line="288" w:lineRule="auto"/>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 艺术作品赏析汇报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1175" w:type="dxa"/>
            <w:vMerge w:val="continue"/>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2470" w:type="dxa"/>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2199"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p>
        </w:tc>
        <w:tc>
          <w:tcPr>
            <w:tcW w:w="1276"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1175" w:type="dxa"/>
            <w:vMerge w:val="continue"/>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2470" w:type="dxa"/>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2199"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p>
        </w:tc>
        <w:tc>
          <w:tcPr>
            <w:tcW w:w="1276"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1175" w:type="dxa"/>
            <w:vMerge w:val="restart"/>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LO81</w:t>
            </w:r>
          </w:p>
        </w:tc>
        <w:tc>
          <w:tcPr>
            <w:tcW w:w="2470" w:type="dxa"/>
            <w:shd w:val="clear" w:color="auto" w:fill="auto"/>
          </w:tcPr>
          <w:p>
            <w:pPr>
              <w:rPr>
                <w:rFonts w:ascii="仿宋" w:hAnsi="仿宋" w:eastAsia="仿宋" w:cs="宋体"/>
                <w:color w:val="000000" w:themeColor="text1"/>
                <w:kern w:val="0"/>
                <w:sz w:val="24"/>
                <w14:textFill>
                  <w14:solidFill>
                    <w14:schemeClr w14:val="tx1"/>
                  </w14:solidFill>
                </w14:textFill>
              </w:rPr>
            </w:pPr>
            <w:r>
              <w:rPr>
                <w:rFonts w:hint="eastAsia" w:ascii="宋体" w:hAnsi="宋体"/>
                <w:color w:val="000000" w:themeColor="text1"/>
                <w14:textFill>
                  <w14:solidFill>
                    <w14:schemeClr w14:val="tx1"/>
                  </w14:solidFill>
                </w14:textFill>
              </w:rPr>
              <w:t>理解其他国家历史文化，有跨文化交流能力。</w:t>
            </w:r>
          </w:p>
        </w:tc>
        <w:tc>
          <w:tcPr>
            <w:tcW w:w="2199"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课堂讲解与练习，并播放音频视频以及图片艺术</w:t>
            </w:r>
          </w:p>
        </w:tc>
        <w:tc>
          <w:tcPr>
            <w:tcW w:w="1276"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艺术作品赏析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1175" w:type="dxa"/>
            <w:vMerge w:val="continue"/>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2470" w:type="dxa"/>
            <w:shd w:val="clear" w:color="auto" w:fill="auto"/>
          </w:tcPr>
          <w:p>
            <w:pPr>
              <w:rPr>
                <w:rFonts w:ascii="仿宋" w:hAnsi="仿宋" w:eastAsia="仿宋" w:cs="宋体"/>
                <w:color w:val="000000" w:themeColor="text1"/>
                <w:kern w:val="0"/>
                <w:sz w:val="24"/>
                <w14:textFill>
                  <w14:solidFill>
                    <w14:schemeClr w14:val="tx1"/>
                  </w14:solidFill>
                </w14:textFill>
              </w:rPr>
            </w:pPr>
          </w:p>
        </w:tc>
        <w:tc>
          <w:tcPr>
            <w:tcW w:w="2199"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p>
        </w:tc>
        <w:tc>
          <w:tcPr>
            <w:tcW w:w="1276" w:type="dxa"/>
            <w:shd w:val="clear" w:color="auto" w:fill="auto"/>
          </w:tcPr>
          <w:p>
            <w:pPr>
              <w:snapToGrid w:val="0"/>
              <w:spacing w:line="288" w:lineRule="auto"/>
              <w:jc w:val="center"/>
              <w:rPr>
                <w:rFonts w:ascii="黑体" w:hAnsi="宋体" w:eastAsia="黑体"/>
                <w:color w:val="000000" w:themeColor="text1"/>
                <w:sz w:val="24"/>
                <w14:textFill>
                  <w14:solidFill>
                    <w14:schemeClr w14:val="tx1"/>
                  </w14:solidFill>
                </w14:textFill>
              </w:rPr>
            </w:pPr>
          </w:p>
        </w:tc>
      </w:tr>
    </w:tbl>
    <w:p>
      <w:pPr>
        <w:snapToGrid w:val="0"/>
        <w:spacing w:line="288" w:lineRule="auto"/>
        <w:ind w:left="420" w:leftChars="200"/>
        <w:rPr>
          <w:rFonts w:ascii="黑体" w:hAnsi="宋体" w:eastAsia="黑体"/>
          <w:color w:val="000000" w:themeColor="text1"/>
          <w:sz w:val="24"/>
          <w14:textFill>
            <w14:solidFill>
              <w14:schemeClr w14:val="tx1"/>
            </w14:solidFill>
          </w14:textFill>
        </w:rPr>
      </w:pPr>
    </w:p>
    <w:p>
      <w:pPr>
        <w:snapToGrid w:val="0"/>
        <w:spacing w:line="288" w:lineRule="auto"/>
        <w:ind w:left="420" w:leftChars="200"/>
        <w:rPr>
          <w:rFonts w:ascii="黑体" w:hAnsi="宋体" w:eastAsia="黑体"/>
          <w:color w:val="000000" w:themeColor="text1"/>
          <w:sz w:val="24"/>
          <w14:textFill>
            <w14:solidFill>
              <w14:schemeClr w14:val="tx1"/>
            </w14:solidFill>
          </w14:textFill>
        </w:rPr>
      </w:pPr>
    </w:p>
    <w:p>
      <w:pPr>
        <w:snapToGrid w:val="0"/>
        <w:spacing w:line="288" w:lineRule="auto"/>
        <w:ind w:left="420" w:leftChars="200"/>
        <w:rPr>
          <w:rFonts w:ascii="黑体" w:hAnsi="宋体" w:eastAsia="黑体"/>
          <w:color w:val="000000" w:themeColor="text1"/>
          <w:sz w:val="24"/>
          <w14:textFill>
            <w14:solidFill>
              <w14:schemeClr w14:val="tx1"/>
            </w14:solidFill>
          </w14:textFill>
        </w:rPr>
      </w:pPr>
    </w:p>
    <w:p>
      <w:pPr>
        <w:snapToGrid w:val="0"/>
        <w:spacing w:line="288" w:lineRule="auto"/>
        <w:ind w:left="420" w:leftChars="200"/>
        <w:rPr>
          <w:rFonts w:ascii="黑体" w:hAnsi="宋体" w:eastAsia="黑体"/>
          <w:color w:val="000000" w:themeColor="text1"/>
          <w:sz w:val="24"/>
          <w14:textFill>
            <w14:solidFill>
              <w14:schemeClr w14:val="tx1"/>
            </w14:solidFill>
          </w14:textFill>
        </w:rPr>
      </w:pPr>
    </w:p>
    <w:p>
      <w:pPr>
        <w:snapToGrid w:val="0"/>
        <w:spacing w:line="288" w:lineRule="auto"/>
        <w:ind w:left="420" w:leftChars="200"/>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课程内容（必填项）</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第一单元 课堂计划、课堂礼仪、教学规范、课程考试内容与要求；（理论课时数8）</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         要求知识点需要知道与理解</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第一周次</w:t>
      </w:r>
      <w:r>
        <w:rPr>
          <w:rFonts w:hint="eastAsia" w:ascii="宋体" w:hAnsi="宋体" w:cs="Arial"/>
          <w:color w:val="000000" w:themeColor="text1"/>
          <w:kern w:val="0"/>
          <w:sz w:val="20"/>
          <w:szCs w:val="20"/>
          <w14:textFill>
            <w14:solidFill>
              <w14:schemeClr w14:val="tx1"/>
            </w14:solidFill>
          </w14:textFill>
        </w:rPr>
        <w:t>告诉学生课程的考核方式，课程在该专业的重要性，教学内容及进度。 乐器排序常识</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第二周次 乐器色彩聆听与认识</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第三周次乐器聆听与古典音乐的开头入门认识2</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第四周次 试卷开卷赏析考核</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第二单元 结合爱国主义教育的人声艺术推广与器乐曲的初次接触与启迪；（理论课时8）</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         要求知识点理解并用于学校活动</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第五周次 </w:t>
      </w:r>
      <w:r>
        <w:rPr>
          <w:rFonts w:hint="eastAsia" w:ascii="宋体" w:hAnsi="宋体" w:cs="Arial"/>
          <w:color w:val="000000" w:themeColor="text1"/>
          <w:kern w:val="0"/>
          <w:sz w:val="20"/>
          <w:szCs w:val="20"/>
          <w14:textFill>
            <w14:solidFill>
              <w14:schemeClr w14:val="tx1"/>
            </w14:solidFill>
          </w14:textFill>
        </w:rPr>
        <w:t>世界合唱艺术介绍</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第六周次 听觉艺术与视频创作的大师作品分类赏析！</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第七周次 听觉艺术与视频创作的大师作品分类赏析2</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第八周次 艺术作品赏析宣讲汇报</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第三单元 音乐史为顺序的音乐作品压缩讲解与鉴赏：（理论课时数8）</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          要求能知道知识点并能做出综合与评价</w:t>
      </w:r>
    </w:p>
    <w:p>
      <w:pPr>
        <w:snapToGrid w:val="0"/>
        <w:spacing w:line="288" w:lineRule="auto"/>
        <w:ind w:firstLine="400" w:firstLineChars="200"/>
        <w:rPr>
          <w:rFonts w:ascii="宋体" w:hAnsi="宋体" w:cs="Arial"/>
          <w:color w:val="000000" w:themeColor="text1"/>
          <w:kern w:val="0"/>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第九周次</w:t>
      </w:r>
      <w:r>
        <w:rPr>
          <w:rFonts w:hint="eastAsia" w:ascii="宋体" w:hAnsi="宋体" w:cs="Arial"/>
          <w:color w:val="000000" w:themeColor="text1"/>
          <w:kern w:val="0"/>
          <w:sz w:val="20"/>
          <w:szCs w:val="20"/>
          <w14:textFill>
            <w14:solidFill>
              <w14:schemeClr w14:val="tx1"/>
            </w14:solidFill>
          </w14:textFill>
        </w:rPr>
        <w:t>中世纪、文艺复兴、巴洛克时期艺术欣赏</w:t>
      </w:r>
    </w:p>
    <w:p>
      <w:pPr>
        <w:snapToGrid w:val="0"/>
        <w:spacing w:line="288" w:lineRule="auto"/>
        <w:ind w:firstLine="400" w:firstLineChars="200"/>
        <w:rPr>
          <w:rFonts w:ascii="黑体" w:hAnsi="黑体" w:eastAsia="黑体"/>
          <w:color w:val="000000" w:themeColor="text1"/>
          <w:kern w:val="0"/>
          <w:sz w:val="20"/>
          <w:szCs w:val="20"/>
          <w14:textFill>
            <w14:solidFill>
              <w14:schemeClr w14:val="tx1"/>
            </w14:solidFill>
          </w14:textFill>
        </w:rPr>
      </w:pPr>
      <w:r>
        <w:rPr>
          <w:rFonts w:hint="eastAsia" w:ascii="宋体" w:hAnsi="宋体" w:cs="Arial"/>
          <w:color w:val="000000" w:themeColor="text1"/>
          <w:kern w:val="0"/>
          <w:sz w:val="20"/>
          <w:szCs w:val="20"/>
          <w14:textFill>
            <w14:solidFill>
              <w14:schemeClr w14:val="tx1"/>
            </w14:solidFill>
          </w14:textFill>
        </w:rPr>
        <w:t>第十周次</w:t>
      </w:r>
      <w:r>
        <w:rPr>
          <w:rFonts w:hint="eastAsia" w:ascii="黑体" w:hAnsi="黑体" w:eastAsia="黑体"/>
          <w:color w:val="000000" w:themeColor="text1"/>
          <w:kern w:val="0"/>
          <w:sz w:val="20"/>
          <w:szCs w:val="20"/>
          <w14:textFill>
            <w14:solidFill>
              <w14:schemeClr w14:val="tx1"/>
            </w14:solidFill>
          </w14:textFill>
        </w:rPr>
        <w:t>古典主义艺术欣赏</w:t>
      </w:r>
    </w:p>
    <w:p>
      <w:pPr>
        <w:snapToGrid w:val="0"/>
        <w:spacing w:line="288" w:lineRule="auto"/>
        <w:ind w:left="420" w:leftChars="200"/>
        <w:rPr>
          <w:rFonts w:ascii="黑体" w:hAnsi="黑体" w:eastAsia="黑体"/>
          <w:color w:val="000000" w:themeColor="text1"/>
          <w:kern w:val="0"/>
          <w:sz w:val="20"/>
          <w:szCs w:val="20"/>
          <w14:textFill>
            <w14:solidFill>
              <w14:schemeClr w14:val="tx1"/>
            </w14:solidFill>
          </w14:textFill>
        </w:rPr>
      </w:pPr>
      <w:r>
        <w:rPr>
          <w:rFonts w:hint="eastAsia" w:ascii="黑体" w:hAnsi="黑体" w:eastAsia="黑体"/>
          <w:color w:val="000000" w:themeColor="text1"/>
          <w:kern w:val="0"/>
          <w:sz w:val="20"/>
          <w:szCs w:val="20"/>
          <w14:textFill>
            <w14:solidFill>
              <w14:schemeClr w14:val="tx1"/>
            </w14:solidFill>
          </w14:textFill>
        </w:rPr>
        <w:t>第十一周次 浪漫主义时期艺术鉴赏</w:t>
      </w:r>
    </w:p>
    <w:p>
      <w:pPr>
        <w:snapToGrid w:val="0"/>
        <w:spacing w:line="288" w:lineRule="auto"/>
        <w:ind w:left="420" w:leftChars="200"/>
        <w:rPr>
          <w:rFonts w:ascii="黑体" w:hAnsi="宋体" w:eastAsia="黑体"/>
          <w:color w:val="000000" w:themeColor="text1"/>
          <w:sz w:val="20"/>
          <w:szCs w:val="20"/>
          <w14:textFill>
            <w14:solidFill>
              <w14:schemeClr w14:val="tx1"/>
            </w14:solidFill>
          </w14:textFill>
        </w:rPr>
      </w:pPr>
      <w:r>
        <w:rPr>
          <w:rFonts w:hint="eastAsia" w:ascii="黑体" w:hAnsi="宋体" w:eastAsia="黑体"/>
          <w:color w:val="000000" w:themeColor="text1"/>
          <w:sz w:val="20"/>
          <w:szCs w:val="20"/>
          <w14:textFill>
            <w14:solidFill>
              <w14:schemeClr w14:val="tx1"/>
            </w14:solidFill>
          </w14:textFill>
        </w:rPr>
        <w:t>第十二周次三个时期音乐欣赏内容</w:t>
      </w:r>
      <w:r>
        <w:rPr>
          <w:rFonts w:hint="eastAsia" w:ascii="黑体" w:hAnsi="黑体" w:eastAsia="黑体"/>
          <w:color w:val="000000" w:themeColor="text1"/>
          <w:kern w:val="0"/>
          <w:sz w:val="20"/>
          <w:szCs w:val="20"/>
          <w14:textFill>
            <w14:solidFill>
              <w14:schemeClr w14:val="tx1"/>
            </w14:solidFill>
          </w14:textFill>
        </w:rPr>
        <w:t xml:space="preserve">听辨考核 </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第四单元 当代与近代的世界音乐鉴赏；（理论课时数8）</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          能运用分析综合评价</w:t>
      </w:r>
    </w:p>
    <w:p>
      <w:pPr>
        <w:snapToGrid w:val="0"/>
        <w:spacing w:line="288" w:lineRule="auto"/>
        <w:ind w:firstLine="400" w:firstLineChars="200"/>
        <w:rPr>
          <w:rFonts w:ascii="黑体" w:hAnsi="黑体" w:eastAsia="黑体"/>
          <w:color w:val="000000" w:themeColor="text1"/>
          <w:kern w:val="0"/>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 xml:space="preserve">第十三周 </w:t>
      </w:r>
      <w:r>
        <w:rPr>
          <w:rFonts w:hint="eastAsia" w:ascii="黑体" w:hAnsi="黑体" w:eastAsia="黑体"/>
          <w:color w:val="000000" w:themeColor="text1"/>
          <w:kern w:val="0"/>
          <w:sz w:val="20"/>
          <w:szCs w:val="20"/>
          <w14:textFill>
            <w14:solidFill>
              <w14:schemeClr w14:val="tx1"/>
            </w14:solidFill>
          </w14:textFill>
        </w:rPr>
        <w:t>现代和后现代艺术鉴赏</w:t>
      </w:r>
    </w:p>
    <w:p>
      <w:pPr>
        <w:snapToGrid w:val="0"/>
        <w:spacing w:line="288" w:lineRule="auto"/>
        <w:ind w:firstLine="400" w:firstLineChars="200"/>
        <w:rPr>
          <w:rFonts w:ascii="黑体" w:hAnsi="黑体" w:eastAsia="黑体"/>
          <w:color w:val="000000" w:themeColor="text1"/>
          <w:kern w:val="0"/>
          <w:sz w:val="20"/>
          <w:szCs w:val="20"/>
          <w14:textFill>
            <w14:solidFill>
              <w14:schemeClr w14:val="tx1"/>
            </w14:solidFill>
          </w14:textFill>
        </w:rPr>
      </w:pPr>
      <w:r>
        <w:rPr>
          <w:rFonts w:hint="eastAsia" w:ascii="黑体" w:hAnsi="黑体" w:eastAsia="黑体"/>
          <w:color w:val="000000" w:themeColor="text1"/>
          <w:kern w:val="0"/>
          <w:sz w:val="20"/>
          <w:szCs w:val="20"/>
          <w14:textFill>
            <w14:solidFill>
              <w14:schemeClr w14:val="tx1"/>
            </w14:solidFill>
          </w14:textFill>
        </w:rPr>
        <w:t>第十四周 美国及世界流行艺术鉴赏</w:t>
      </w:r>
    </w:p>
    <w:p>
      <w:pPr>
        <w:snapToGrid w:val="0"/>
        <w:spacing w:line="288" w:lineRule="auto"/>
        <w:ind w:firstLine="400" w:firstLineChars="200"/>
        <w:rPr>
          <w:rFonts w:ascii="黑体" w:hAnsi="黑体" w:eastAsia="黑体"/>
          <w:color w:val="000000" w:themeColor="text1"/>
          <w:kern w:val="0"/>
          <w:sz w:val="20"/>
          <w:szCs w:val="20"/>
          <w14:textFill>
            <w14:solidFill>
              <w14:schemeClr w14:val="tx1"/>
            </w14:solidFill>
          </w14:textFill>
        </w:rPr>
      </w:pPr>
      <w:r>
        <w:rPr>
          <w:rFonts w:hint="eastAsia" w:ascii="黑体" w:hAnsi="黑体" w:eastAsia="黑体"/>
          <w:color w:val="000000" w:themeColor="text1"/>
          <w:kern w:val="0"/>
          <w:sz w:val="20"/>
          <w:szCs w:val="20"/>
          <w14:textFill>
            <w14:solidFill>
              <w14:schemeClr w14:val="tx1"/>
            </w14:solidFill>
          </w14:textFill>
        </w:rPr>
        <w:t>第十五周作品宣讲汇报1</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r>
        <w:rPr>
          <w:rFonts w:hint="eastAsia" w:ascii="黑体" w:hAnsi="黑体" w:eastAsia="黑体"/>
          <w:color w:val="000000" w:themeColor="text1"/>
          <w:kern w:val="0"/>
          <w:sz w:val="20"/>
          <w:szCs w:val="20"/>
          <w14:textFill>
            <w14:solidFill>
              <w14:schemeClr w14:val="tx1"/>
            </w14:solidFill>
          </w14:textFill>
        </w:rPr>
        <w:t>第十六周作品宣讲汇报2</w:t>
      </w:r>
    </w:p>
    <w:p>
      <w:pPr>
        <w:snapToGrid w:val="0"/>
        <w:spacing w:line="288" w:lineRule="auto"/>
        <w:rPr>
          <w:rFonts w:ascii="宋体" w:hAnsi="宋体"/>
          <w:color w:val="000000" w:themeColor="text1"/>
          <w:sz w:val="20"/>
          <w:szCs w:val="20"/>
          <w14:textFill>
            <w14:solidFill>
              <w14:schemeClr w14:val="tx1"/>
            </w14:solidFill>
          </w14:textFill>
        </w:rPr>
      </w:pPr>
    </w:p>
    <w:p>
      <w:pPr>
        <w:snapToGrid w:val="0"/>
        <w:spacing w:line="288" w:lineRule="auto"/>
        <w:ind w:right="26"/>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七、课内实验名称及基本要求（选填，适用于课内实验）</w:t>
      </w:r>
    </w:p>
    <w:p>
      <w:pPr>
        <w:snapToGrid w:val="0"/>
        <w:spacing w:line="288" w:lineRule="auto"/>
        <w:ind w:right="26"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实验</w:t>
            </w:r>
          </w:p>
          <w:p>
            <w:pPr>
              <w:snapToGrid w:val="0"/>
              <w:jc w:val="cente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000000" w:themeColor="text1"/>
                <w:sz w:val="20"/>
                <w:szCs w:val="20"/>
                <w14:textFill>
                  <w14:solidFill>
                    <w14:schemeClr w14:val="tx1"/>
                  </w14:solidFill>
                </w14:textFill>
              </w:rPr>
            </w:pPr>
            <w:r>
              <w:rPr>
                <w:rFonts w:hint="eastAsia" w:ascii="宋体"/>
                <w:color w:val="000000" w:themeColor="text1"/>
                <w:sz w:val="20"/>
                <w:szCs w:val="20"/>
                <w14:textFill>
                  <w14:solidFill>
                    <w14:schemeClr w14:val="tx1"/>
                  </w14:solidFill>
                </w14:textFill>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14:textFill>
                  <w14:solidFill>
                    <w14:schemeClr w14:val="tx1"/>
                  </w14:solidFill>
                </w14:textFill>
              </w:rPr>
            </w:pPr>
          </w:p>
        </w:tc>
      </w:tr>
    </w:tbl>
    <w:p>
      <w:pPr>
        <w:snapToGrid w:val="0"/>
        <w:spacing w:line="288" w:lineRule="auto"/>
        <w:ind w:right="2520"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七、实践环节各阶段名称及基本要求（选填，适用于集中实践、实习、毕业设计等）</w:t>
      </w:r>
    </w:p>
    <w:p>
      <w:pPr>
        <w:snapToGrid w:val="0"/>
        <w:spacing w:line="288" w:lineRule="auto"/>
        <w:ind w:right="26" w:firstLine="400" w:firstLineChars="200"/>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14:textFill>
                  <w14:solidFill>
                    <w14:schemeClr w14:val="tx1"/>
                  </w14:solidFill>
                </w14:textFill>
              </w:rPr>
            </w:pPr>
          </w:p>
        </w:tc>
      </w:tr>
    </w:tbl>
    <w:p>
      <w:pPr>
        <w:snapToGrid w:val="0"/>
        <w:spacing w:line="288" w:lineRule="auto"/>
        <w:ind w:right="2520"/>
        <w:rPr>
          <w:rFonts w:ascii="黑体" w:hAnsi="宋体" w:eastAsia="黑体"/>
          <w:color w:val="000000" w:themeColor="text1"/>
          <w:sz w:val="24"/>
          <w14:textFill>
            <w14:solidFill>
              <w14:schemeClr w14:val="tx1"/>
            </w14:solidFill>
          </w14:textFill>
        </w:rPr>
      </w:pPr>
    </w:p>
    <w:p>
      <w:pPr>
        <w:snapToGrid w:val="0"/>
        <w:spacing w:line="288" w:lineRule="auto"/>
        <w:ind w:right="2520" w:firstLine="480" w:firstLineChars="200"/>
        <w:rPr>
          <w:color w:val="000000" w:themeColor="text1"/>
          <w:sz w:val="20"/>
          <w:szCs w:val="20"/>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八、评价方式与成绩</w:t>
      </w:r>
      <w:r>
        <w:rPr>
          <w:rFonts w:ascii="黑体" w:hAnsi="宋体" w:eastAsia="黑体"/>
          <w:color w:val="000000" w:themeColor="text1"/>
          <w:sz w:val="24"/>
          <w14:textFill>
            <w14:solidFill>
              <w14:schemeClr w14:val="tx1"/>
            </w14:solidFill>
          </w14:textFill>
        </w:rPr>
        <w:t>（必填项）</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总评构成（1+</w:t>
            </w:r>
            <w:r>
              <w:rPr>
                <w:rFonts w:ascii="宋体" w:hAnsi="宋体"/>
                <w:bCs/>
                <w:color w:val="000000" w:themeColor="text1"/>
                <w:szCs w:val="20"/>
                <w14:textFill>
                  <w14:solidFill>
                    <w14:schemeClr w14:val="tx1"/>
                  </w14:solidFill>
                </w14:textFill>
              </w:rPr>
              <w:t>X</w:t>
            </w:r>
            <w:r>
              <w:rPr>
                <w:rFonts w:hint="eastAsia" w:ascii="宋体" w:hAnsi="宋体"/>
                <w:bCs/>
                <w:color w:val="000000" w:themeColor="text1"/>
                <w:szCs w:val="20"/>
                <w14:textFill>
                  <w14:solidFill>
                    <w14:schemeClr w14:val="tx1"/>
                  </w14:solidFill>
                </w14:textFill>
              </w:rPr>
              <w:t>）</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评价方式</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X1</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艺术作品赏析汇报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X2</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艺术作品赏析汇报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X3</w:t>
            </w: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艺术作品赏析汇报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p>
        </w:tc>
        <w:tc>
          <w:tcPr>
            <w:tcW w:w="510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p>
        </w:tc>
        <w:tc>
          <w:tcPr>
            <w:tcW w:w="1843" w:type="dxa"/>
            <w:shd w:val="clear" w:color="auto" w:fill="auto"/>
          </w:tcPr>
          <w:p>
            <w:pPr>
              <w:snapToGrid w:val="0"/>
              <w:spacing w:before="156" w:beforeLines="50" w:after="156" w:afterLines="50"/>
              <w:jc w:val="center"/>
              <w:rPr>
                <w:rFonts w:ascii="宋体" w:hAnsi="宋体"/>
                <w:bCs/>
                <w:color w:val="000000" w:themeColor="text1"/>
                <w:szCs w:val="20"/>
                <w14:textFill>
                  <w14:solidFill>
                    <w14:schemeClr w14:val="tx1"/>
                  </w14:solidFill>
                </w14:textFill>
              </w:rPr>
            </w:pPr>
          </w:p>
        </w:tc>
      </w:tr>
    </w:tbl>
    <w:p>
      <w:pPr>
        <w:snapToGrid w:val="0"/>
        <w:spacing w:line="288" w:lineRule="auto"/>
        <w:ind w:right="2520" w:firstLine="400" w:firstLineChars="200"/>
        <w:rPr>
          <w:color w:val="000000" w:themeColor="text1"/>
          <w:sz w:val="20"/>
          <w:szCs w:val="20"/>
          <w14:textFill>
            <w14:solidFill>
              <w14:schemeClr w14:val="tx1"/>
            </w14:solidFill>
          </w14:textFill>
        </w:rPr>
      </w:pPr>
    </w:p>
    <w:p>
      <w:pPr>
        <w:snapToGrid w:val="0"/>
        <w:spacing w:before="156" w:beforeLines="50" w:line="288" w:lineRule="auto"/>
        <w:ind w:firstLine="400" w:firstLineChars="200"/>
        <w:rPr>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 </w:t>
      </w:r>
    </w:p>
    <w:p>
      <w:pPr>
        <w:snapToGrid w:val="0"/>
        <w:spacing w:before="120" w:after="120" w:line="288" w:lineRule="auto"/>
        <w:ind w:firstLine="400" w:firstLineChars="200"/>
        <w:rPr>
          <w:rFonts w:ascii="宋体" w:hAnsi="宋体"/>
          <w:color w:val="000000" w:themeColor="text1"/>
          <w:sz w:val="20"/>
          <w:szCs w:val="20"/>
          <w:highlight w:val="yellow"/>
          <w14:textFill>
            <w14:solidFill>
              <w14:schemeClr w14:val="tx1"/>
            </w14:solidFill>
          </w14:textFill>
        </w:rPr>
      </w:pPr>
    </w:p>
    <w:p>
      <w:pPr>
        <w:snapToGrid w:val="0"/>
        <w:spacing w:before="120" w:after="120" w:line="288" w:lineRule="auto"/>
        <w:ind w:firstLine="400" w:firstLineChars="200"/>
        <w:rPr>
          <w:rFonts w:ascii="宋体" w:hAnsi="宋体"/>
          <w:color w:val="000000" w:themeColor="text1"/>
          <w:sz w:val="20"/>
          <w:szCs w:val="20"/>
          <w:highlight w:val="yellow"/>
          <w14:textFill>
            <w14:solidFill>
              <w14:schemeClr w14:val="tx1"/>
            </w14:solidFill>
          </w14:textFill>
        </w:rPr>
      </w:pPr>
    </w:p>
    <w:p>
      <w:pPr>
        <w:snapToGrid w:val="0"/>
        <w:spacing w:before="120" w:after="120" w:line="288" w:lineRule="auto"/>
        <w:ind w:firstLine="400" w:firstLineChars="200"/>
        <w:rPr>
          <w:rFonts w:ascii="宋体" w:hAnsi="宋体"/>
          <w:color w:val="000000" w:themeColor="text1"/>
          <w:sz w:val="20"/>
          <w:szCs w:val="20"/>
          <w:highlight w:val="yellow"/>
          <w14:textFill>
            <w14:solidFill>
              <w14:schemeClr w14:val="tx1"/>
            </w14:solidFill>
          </w14:textFill>
        </w:rPr>
      </w:pPr>
    </w:p>
    <w:p>
      <w:pPr>
        <w:snapToGrid w:val="0"/>
        <w:spacing w:line="288" w:lineRule="auto"/>
        <w:ind w:firstLine="840" w:firstLineChars="3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撰写人： 陈莉      系主任审核签名：张建民</w:t>
      </w:r>
    </w:p>
    <w:p>
      <w:pPr>
        <w:snapToGrid w:val="0"/>
        <w:spacing w:line="288" w:lineRule="auto"/>
        <w:ind w:firstLine="840" w:firstLineChars="3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审核时间：    2019.2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94941"/>
    <w:rsid w:val="001072BC"/>
    <w:rsid w:val="001A0474"/>
    <w:rsid w:val="00256B39"/>
    <w:rsid w:val="0026033C"/>
    <w:rsid w:val="00273C7C"/>
    <w:rsid w:val="002904B7"/>
    <w:rsid w:val="002E3721"/>
    <w:rsid w:val="00313BBA"/>
    <w:rsid w:val="0032602E"/>
    <w:rsid w:val="003367AE"/>
    <w:rsid w:val="00350D04"/>
    <w:rsid w:val="003B1258"/>
    <w:rsid w:val="003C51F4"/>
    <w:rsid w:val="004100B0"/>
    <w:rsid w:val="00471492"/>
    <w:rsid w:val="005467DC"/>
    <w:rsid w:val="00553D03"/>
    <w:rsid w:val="005B2B6D"/>
    <w:rsid w:val="005B4B4E"/>
    <w:rsid w:val="00624FE1"/>
    <w:rsid w:val="006949D6"/>
    <w:rsid w:val="007208D6"/>
    <w:rsid w:val="00755810"/>
    <w:rsid w:val="007C0154"/>
    <w:rsid w:val="008B397C"/>
    <w:rsid w:val="008B47F4"/>
    <w:rsid w:val="00900019"/>
    <w:rsid w:val="0099063E"/>
    <w:rsid w:val="009B3110"/>
    <w:rsid w:val="009D1204"/>
    <w:rsid w:val="00A426D5"/>
    <w:rsid w:val="00A769B1"/>
    <w:rsid w:val="00A837D5"/>
    <w:rsid w:val="00AC4C45"/>
    <w:rsid w:val="00B46F21"/>
    <w:rsid w:val="00B511A5"/>
    <w:rsid w:val="00B736A7"/>
    <w:rsid w:val="00B7651F"/>
    <w:rsid w:val="00BC2453"/>
    <w:rsid w:val="00C26FEE"/>
    <w:rsid w:val="00C56E09"/>
    <w:rsid w:val="00C628AE"/>
    <w:rsid w:val="00CF096B"/>
    <w:rsid w:val="00D1217E"/>
    <w:rsid w:val="00E0021E"/>
    <w:rsid w:val="00E1140C"/>
    <w:rsid w:val="00E16D30"/>
    <w:rsid w:val="00E2079C"/>
    <w:rsid w:val="00E33169"/>
    <w:rsid w:val="00E70904"/>
    <w:rsid w:val="00EC0085"/>
    <w:rsid w:val="00EF44B1"/>
    <w:rsid w:val="00F35AA0"/>
    <w:rsid w:val="00F74F7B"/>
    <w:rsid w:val="00F912C8"/>
    <w:rsid w:val="00FD3383"/>
    <w:rsid w:val="00FD666E"/>
    <w:rsid w:val="016E63C2"/>
    <w:rsid w:val="024B0C39"/>
    <w:rsid w:val="0A8128A6"/>
    <w:rsid w:val="0BF32A1B"/>
    <w:rsid w:val="10BD2C22"/>
    <w:rsid w:val="22987C80"/>
    <w:rsid w:val="24192CCC"/>
    <w:rsid w:val="2D9B130E"/>
    <w:rsid w:val="39A66CD4"/>
    <w:rsid w:val="3CD52CE1"/>
    <w:rsid w:val="410F2E6A"/>
    <w:rsid w:val="4430136C"/>
    <w:rsid w:val="4AB0382B"/>
    <w:rsid w:val="569868B5"/>
    <w:rsid w:val="611F6817"/>
    <w:rsid w:val="66CA1754"/>
    <w:rsid w:val="6F1E65D4"/>
    <w:rsid w:val="6F266C86"/>
    <w:rsid w:val="6F5042C2"/>
    <w:rsid w:val="73B82DA5"/>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394</Words>
  <Characters>2246</Characters>
  <Lines>18</Lines>
  <Paragraphs>5</Paragraphs>
  <TotalTime>7</TotalTime>
  <ScaleCrop>false</ScaleCrop>
  <LinksUpToDate>false</LinksUpToDate>
  <CharactersWithSpaces>2635</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2019-02-25T02:01:00Z</dcterms:created>
  <dc:creator>juvg</dc:creator>
  <cp:lastModifiedBy>Administrator</cp:lastModifiedBy>
  <dcterms:modified xsi:type="dcterms:W3CDTF">2019-02-25T05:33:58Z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