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inorEastAsia" w:hAnsiTheme="minorEastAsia" w:eastAsiaTheme="minorEastAsia"/>
          <w:bCs/>
          <w:kern w:val="0"/>
          <w:sz w:val="40"/>
          <w:szCs w:val="4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rFonts w:hint="eastAsia" w:asciiTheme="minorEastAsia" w:hAnsiTheme="minorEastAsia" w:eastAsiaTheme="minorEastAsia"/>
          <w:bCs/>
          <w:kern w:val="0"/>
          <w:sz w:val="40"/>
          <w:szCs w:val="40"/>
        </w:rPr>
      </w:pPr>
    </w:p>
    <w:p>
      <w:pPr>
        <w:spacing w:line="288" w:lineRule="auto"/>
        <w:jc w:val="center"/>
        <w:rPr>
          <w:b/>
          <w:sz w:val="28"/>
          <w:szCs w:val="30"/>
        </w:rPr>
      </w:pPr>
      <w:r>
        <w:rPr>
          <w:rFonts w:hint="eastAsia"/>
          <w:b/>
          <w:sz w:val="28"/>
          <w:szCs w:val="30"/>
        </w:rPr>
        <w:t>【围棋</w:t>
      </w:r>
      <w:r>
        <w:rPr>
          <w:rFonts w:hint="eastAsia"/>
          <w:b/>
          <w:sz w:val="28"/>
          <w:szCs w:val="30"/>
          <w:lang w:val="en-US" w:eastAsia="zh-CN"/>
        </w:rPr>
        <w:t>技艺2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【G</w:t>
      </w:r>
      <w:r>
        <w:rPr>
          <w:b/>
          <w:sz w:val="28"/>
          <w:szCs w:val="30"/>
        </w:rPr>
        <w:t>o</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rFonts w:hint="eastAsia"/>
          <w:color w:val="000000"/>
          <w:sz w:val="20"/>
          <w:szCs w:val="20"/>
          <w:lang w:val="en-US" w:eastAsia="zh-CN"/>
        </w:rPr>
        <w:t>035009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w:t>
      </w:r>
      <w:r>
        <w:rPr>
          <w:rFonts w:hint="eastAsia"/>
          <w:color w:val="000000"/>
          <w:sz w:val="20"/>
          <w:szCs w:val="20"/>
        </w:rPr>
        <w:t>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新闻传播学院围棋系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CN"/>
        </w:rPr>
        <w:t>○系级核心课</w:t>
      </w:r>
      <w:r>
        <w:rPr>
          <w:rFonts w:hint="eastAsia"/>
          <w:color w:val="000000"/>
          <w:sz w:val="20"/>
          <w:szCs w:val="20"/>
          <w:lang w:val="en-US" w:eastAsia="zh-CN"/>
        </w:rPr>
        <w:t xml:space="preserve"> 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adjustRightInd w:val="0"/>
        <w:snapToGrid w:val="0"/>
        <w:spacing w:line="288" w:lineRule="auto"/>
        <w:ind w:firstLine="392" w:firstLineChars="196"/>
        <w:rPr>
          <w:color w:val="000000"/>
          <w:szCs w:val="21"/>
        </w:rPr>
      </w:pPr>
      <w:r>
        <w:rPr>
          <w:rFonts w:hint="eastAsia"/>
          <w:color w:val="000000"/>
          <w:sz w:val="20"/>
          <w:szCs w:val="20"/>
          <w:lang w:val="en-US" w:eastAsia="zh-CN"/>
        </w:rPr>
        <w:t>教材</w:t>
      </w:r>
      <w:r>
        <w:rPr>
          <w:color w:val="000000"/>
          <w:sz w:val="20"/>
          <w:szCs w:val="20"/>
        </w:rPr>
        <w:t>【</w:t>
      </w:r>
      <w:r>
        <w:rPr>
          <w:rFonts w:hint="eastAsia"/>
          <w:color w:val="000000"/>
          <w:sz w:val="20"/>
          <w:szCs w:val="20"/>
          <w:lang w:val="en-US" w:eastAsia="zh-CN"/>
        </w:rPr>
        <w:t>围棋死活大全</w:t>
      </w:r>
      <w:r>
        <w:rPr>
          <w:color w:val="000000"/>
          <w:sz w:val="20"/>
          <w:szCs w:val="20"/>
        </w:rPr>
        <w:t>】</w:t>
      </w:r>
    </w:p>
    <w:p>
      <w:pPr>
        <w:adjustRightInd w:val="0"/>
        <w:snapToGrid w:val="0"/>
        <w:spacing w:line="288" w:lineRule="auto"/>
        <w:ind w:firstLine="411" w:firstLineChars="196"/>
        <w:rPr>
          <w:rFonts w:hint="eastAsia"/>
          <w:color w:val="000000"/>
          <w:szCs w:val="21"/>
          <w:lang w:val="en-US" w:eastAsia="zh-CN"/>
        </w:rPr>
      </w:pPr>
      <w:r>
        <w:rPr>
          <w:rFonts w:hint="eastAsia"/>
          <w:color w:val="000000"/>
          <w:szCs w:val="21"/>
          <w:lang w:val="en-US" w:eastAsia="zh-CN"/>
        </w:rPr>
        <w:t>作者：丁开明</w:t>
      </w:r>
    </w:p>
    <w:p>
      <w:pPr>
        <w:adjustRightInd w:val="0"/>
        <w:snapToGrid w:val="0"/>
        <w:spacing w:line="288" w:lineRule="auto"/>
        <w:ind w:firstLine="411" w:firstLineChars="196"/>
        <w:rPr>
          <w:rFonts w:hint="eastAsia"/>
          <w:color w:val="000000"/>
          <w:szCs w:val="21"/>
          <w:lang w:val="en-US" w:eastAsia="zh-CN"/>
        </w:rPr>
      </w:pPr>
      <w:r>
        <w:rPr>
          <w:rFonts w:hint="eastAsia"/>
          <w:color w:val="000000"/>
          <w:szCs w:val="21"/>
          <w:lang w:val="en-US" w:eastAsia="zh-CN"/>
        </w:rPr>
        <w:t>出版社：</w:t>
      </w:r>
      <w:r>
        <w:rPr>
          <w:rFonts w:hint="eastAsia" w:ascii="Arial" w:hAnsi="Arial" w:eastAsia="宋体" w:cs="Arial"/>
          <w:i w:val="0"/>
          <w:caps w:val="0"/>
          <w:color w:val="333333"/>
          <w:spacing w:val="0"/>
          <w:sz w:val="21"/>
          <w:szCs w:val="21"/>
          <w:shd w:val="clear" w:fill="FFFFFF"/>
        </w:rPr>
        <w:t>四川科技出版社</w:t>
      </w:r>
    </w:p>
    <w:p>
      <w:pPr>
        <w:adjustRightInd w:val="0"/>
        <w:snapToGrid w:val="0"/>
        <w:spacing w:line="288" w:lineRule="auto"/>
        <w:ind w:firstLine="392" w:firstLineChars="196"/>
        <w:rPr>
          <w:b/>
          <w:bCs/>
          <w:color w:val="000000"/>
          <w:sz w:val="20"/>
          <w:szCs w:val="20"/>
          <w:lang w:val="en-US"/>
        </w:rPr>
      </w:pPr>
      <w:r>
        <w:rPr>
          <w:rFonts w:hint="eastAsia"/>
          <w:color w:val="000000"/>
          <w:sz w:val="20"/>
          <w:szCs w:val="20"/>
        </w:rPr>
        <w:t>版本信息：</w:t>
      </w:r>
      <w:r>
        <w:rPr>
          <w:rFonts w:hint="eastAsia"/>
          <w:color w:val="000000"/>
          <w:sz w:val="20"/>
          <w:szCs w:val="20"/>
          <w:lang w:val="en-US" w:eastAsia="zh-CN"/>
        </w:rPr>
        <w:t xml:space="preserve">ISBN </w:t>
      </w:r>
      <w:r>
        <w:rPr>
          <w:rFonts w:hint="eastAsia" w:ascii="Arial" w:hAnsi="Arial" w:eastAsia="宋体" w:cs="Arial"/>
          <w:i w:val="0"/>
          <w:caps w:val="0"/>
          <w:color w:val="333333"/>
          <w:spacing w:val="0"/>
          <w:sz w:val="18"/>
          <w:szCs w:val="18"/>
          <w:shd w:val="clear" w:fill="FFFFFF"/>
        </w:rPr>
        <w:t>9787536458871</w:t>
      </w:r>
      <w:r>
        <w:rPr>
          <w:rFonts w:hint="eastAsia" w:ascii="Arial" w:hAnsi="Arial" w:cs="Arial"/>
          <w:i w:val="0"/>
          <w:caps w:val="0"/>
          <w:color w:val="333333"/>
          <w:spacing w:val="0"/>
          <w:sz w:val="18"/>
          <w:szCs w:val="18"/>
          <w:shd w:val="clear" w:fill="FFFFFF"/>
          <w:lang w:val="en-US" w:eastAsia="zh-CN"/>
        </w:rPr>
        <w:t xml:space="preserve"> </w:t>
      </w:r>
      <w:r>
        <w:rPr>
          <w:rFonts w:hint="eastAsia"/>
          <w:color w:val="000000"/>
          <w:sz w:val="20"/>
          <w:szCs w:val="20"/>
          <w:lang w:val="en-US" w:eastAsia="zh-CN"/>
        </w:rPr>
        <w:t xml:space="preserve"> 2006年3月出版</w:t>
      </w:r>
    </w:p>
    <w:p>
      <w:pPr>
        <w:snapToGrid w:val="0"/>
        <w:spacing w:line="288" w:lineRule="auto"/>
        <w:ind w:firstLine="420" w:firstLineChars="200"/>
        <w:rPr>
          <w:rFonts w:hint="eastAsia"/>
          <w:color w:val="000000"/>
          <w:szCs w:val="21"/>
          <w:lang w:val="en-US" w:eastAsia="zh-CN"/>
        </w:rPr>
      </w:pPr>
      <w:r>
        <w:rPr>
          <w:rFonts w:hint="eastAsia"/>
          <w:color w:val="000000"/>
          <w:szCs w:val="21"/>
          <w:lang w:val="en-US" w:eastAsia="zh-CN"/>
        </w:rPr>
        <w:t>参考书目：</w:t>
      </w:r>
    </w:p>
    <w:p>
      <w:pPr>
        <w:snapToGrid w:val="0"/>
        <w:spacing w:line="288" w:lineRule="auto"/>
        <w:ind w:firstLine="400" w:firstLineChars="200"/>
        <w:rPr>
          <w:color w:val="000000"/>
          <w:szCs w:val="21"/>
        </w:rPr>
      </w:pPr>
      <w:r>
        <w:rPr>
          <w:rFonts w:hint="eastAsia"/>
          <w:color w:val="000000"/>
          <w:sz w:val="20"/>
          <w:szCs w:val="20"/>
          <w:lang w:val="en-US" w:eastAsia="zh-CN"/>
        </w:rPr>
        <w:t>教材</w:t>
      </w:r>
      <w:r>
        <w:rPr>
          <w:color w:val="000000"/>
          <w:sz w:val="20"/>
          <w:szCs w:val="20"/>
        </w:rPr>
        <w:t>【</w:t>
      </w:r>
      <w:r>
        <w:rPr>
          <w:rFonts w:hint="eastAsia"/>
          <w:color w:val="000000"/>
          <w:sz w:val="20"/>
          <w:szCs w:val="20"/>
          <w:lang w:val="en-US" w:eastAsia="zh-CN"/>
        </w:rPr>
        <w:t>围棋布局大全（修订本）</w:t>
      </w:r>
      <w:r>
        <w:rPr>
          <w:color w:val="000000"/>
          <w:sz w:val="20"/>
          <w:szCs w:val="20"/>
        </w:rPr>
        <w:t>】</w:t>
      </w:r>
    </w:p>
    <w:p>
      <w:pPr>
        <w:snapToGrid w:val="0"/>
        <w:spacing w:line="288" w:lineRule="auto"/>
        <w:ind w:firstLine="420"/>
        <w:rPr>
          <w:rFonts w:hint="eastAsia"/>
          <w:color w:val="000000"/>
          <w:szCs w:val="21"/>
          <w:lang w:val="en-US" w:eastAsia="zh-CN"/>
        </w:rPr>
      </w:pPr>
      <w:r>
        <w:rPr>
          <w:rFonts w:hint="eastAsia"/>
          <w:color w:val="000000"/>
          <w:szCs w:val="21"/>
          <w:lang w:val="en-US" w:eastAsia="zh-CN"/>
        </w:rPr>
        <w:t>作者：作者：丁开明</w:t>
      </w:r>
    </w:p>
    <w:p>
      <w:pPr>
        <w:snapToGrid w:val="0"/>
        <w:spacing w:line="288" w:lineRule="auto"/>
        <w:ind w:firstLine="420"/>
        <w:rPr>
          <w:rFonts w:hint="eastAsia" w:eastAsia="宋体"/>
          <w:color w:val="000000"/>
          <w:sz w:val="21"/>
          <w:szCs w:val="21"/>
          <w:lang w:val="en-US" w:eastAsia="zh-CN"/>
        </w:rPr>
      </w:pPr>
      <w:r>
        <w:rPr>
          <w:rFonts w:hint="eastAsia"/>
          <w:color w:val="000000"/>
          <w:szCs w:val="21"/>
          <w:lang w:val="en-US" w:eastAsia="zh-CN"/>
        </w:rPr>
        <w:t>出版社；</w:t>
      </w:r>
      <w:r>
        <w:rPr>
          <w:rFonts w:hint="eastAsia" w:ascii="Arial" w:hAnsi="Arial" w:cs="Arial"/>
          <w:i w:val="0"/>
          <w:caps w:val="0"/>
          <w:color w:val="333333"/>
          <w:spacing w:val="0"/>
          <w:sz w:val="21"/>
          <w:szCs w:val="21"/>
          <w:shd w:val="clear" w:fill="FFFFFF"/>
          <w:lang w:val="en-US" w:eastAsia="zh-CN"/>
        </w:rPr>
        <w:t>四川科技出版社</w:t>
      </w:r>
    </w:p>
    <w:p>
      <w:pPr>
        <w:snapToGrid w:val="0"/>
        <w:spacing w:line="288" w:lineRule="auto"/>
        <w:ind w:firstLine="420"/>
        <w:rPr>
          <w:rFonts w:hint="eastAsia" w:eastAsia="宋体"/>
          <w:color w:val="000000"/>
          <w:szCs w:val="21"/>
          <w:lang w:val="en-US" w:eastAsia="zh-CN"/>
        </w:rPr>
      </w:pPr>
      <w:r>
        <w:rPr>
          <w:rFonts w:hint="eastAsia"/>
          <w:color w:val="000000"/>
          <w:sz w:val="20"/>
          <w:szCs w:val="20"/>
        </w:rPr>
        <w:t>版本信息：</w:t>
      </w:r>
      <w:r>
        <w:rPr>
          <w:rFonts w:hint="eastAsia"/>
          <w:color w:val="000000"/>
          <w:sz w:val="20"/>
          <w:szCs w:val="20"/>
          <w:lang w:val="en-US" w:eastAsia="zh-CN"/>
        </w:rPr>
        <w:t xml:space="preserve">ISBN </w:t>
      </w:r>
      <w:r>
        <w:rPr>
          <w:rFonts w:hint="eastAsia" w:ascii="Arial" w:hAnsi="Arial" w:eastAsia="宋体" w:cs="Arial"/>
          <w:i w:val="0"/>
          <w:caps w:val="0"/>
          <w:color w:val="333333"/>
          <w:spacing w:val="0"/>
          <w:sz w:val="18"/>
          <w:szCs w:val="18"/>
          <w:shd w:val="clear" w:fill="FFFFFF"/>
        </w:rPr>
        <w:t>9787536458888</w:t>
      </w:r>
      <w:r>
        <w:rPr>
          <w:rFonts w:hint="eastAsia" w:ascii="Arial" w:hAnsi="Arial" w:cs="Arial"/>
          <w:i w:val="0"/>
          <w:caps w:val="0"/>
          <w:color w:val="333333"/>
          <w:spacing w:val="0"/>
          <w:sz w:val="18"/>
          <w:szCs w:val="18"/>
          <w:shd w:val="clear" w:fill="FFFFFF"/>
          <w:lang w:val="en-US" w:eastAsia="zh-CN"/>
        </w:rPr>
        <w:t xml:space="preserve">  2006年3月出版</w:t>
      </w:r>
    </w:p>
    <w:p>
      <w:pPr>
        <w:snapToGrid w:val="0"/>
        <w:spacing w:line="288" w:lineRule="auto"/>
        <w:ind w:left="399" w:leftChars="190" w:firstLine="0" w:firstLineChars="0"/>
        <w:rPr>
          <w:rFonts w:hint="eastAsia"/>
          <w:color w:val="000000"/>
          <w:szCs w:val="21"/>
          <w:lang w:val="en-US" w:eastAsia="zh-CN"/>
        </w:rPr>
      </w:pPr>
      <w:r>
        <w:rPr>
          <w:color w:val="000000"/>
          <w:sz w:val="20"/>
          <w:szCs w:val="20"/>
        </w:rPr>
        <w:t>【</w:t>
      </w:r>
      <w:r>
        <w:rPr>
          <w:rFonts w:hint="eastAsia"/>
          <w:color w:val="000000"/>
          <w:sz w:val="20"/>
          <w:szCs w:val="20"/>
          <w:lang w:val="en-US" w:eastAsia="zh-CN"/>
        </w:rPr>
        <w:t>围棋官子大全</w:t>
      </w:r>
      <w:r>
        <w:rPr>
          <w:color w:val="000000"/>
          <w:sz w:val="20"/>
          <w:szCs w:val="20"/>
        </w:rPr>
        <w:t>】</w:t>
      </w:r>
      <w:r>
        <w:rPr>
          <w:rFonts w:ascii="宋体" w:hAnsi="宋体" w:eastAsia="宋体" w:cs="宋体"/>
          <w:sz w:val="24"/>
          <w:szCs w:val="24"/>
        </w:rPr>
        <w:br w:type="textWrapping"/>
      </w:r>
      <w:r>
        <w:rPr>
          <w:rFonts w:hint="eastAsia"/>
          <w:color w:val="000000"/>
          <w:szCs w:val="21"/>
          <w:lang w:val="en-US" w:eastAsia="zh-CN"/>
        </w:rPr>
        <w:t>作者：丁开明</w:t>
      </w:r>
    </w:p>
    <w:p>
      <w:pPr>
        <w:snapToGrid w:val="0"/>
        <w:spacing w:line="288" w:lineRule="auto"/>
        <w:ind w:left="399" w:leftChars="190" w:firstLine="0" w:firstLineChars="0"/>
        <w:rPr>
          <w:rFonts w:hint="eastAsia"/>
          <w:color w:val="000000"/>
          <w:szCs w:val="21"/>
          <w:lang w:val="en-US" w:eastAsia="zh-CN"/>
        </w:rPr>
      </w:pPr>
      <w:r>
        <w:rPr>
          <w:rFonts w:hint="eastAsia"/>
          <w:color w:val="000000"/>
          <w:sz w:val="20"/>
          <w:szCs w:val="20"/>
        </w:rPr>
        <w:t>出版社：</w:t>
      </w:r>
      <w:r>
        <w:rPr>
          <w:rFonts w:ascii="Arial" w:hAnsi="Arial" w:eastAsia="宋体" w:cs="Arial"/>
          <w:i w:val="0"/>
          <w:caps w:val="0"/>
          <w:color w:val="000000"/>
          <w:spacing w:val="0"/>
          <w:sz w:val="21"/>
          <w:szCs w:val="21"/>
          <w:shd w:val="clear" w:fill="FFFFFF"/>
        </w:rPr>
        <w:t>成都时代出版社</w:t>
      </w:r>
    </w:p>
    <w:p>
      <w:pPr>
        <w:snapToGrid w:val="0"/>
        <w:spacing w:line="288" w:lineRule="auto"/>
        <w:ind w:left="399" w:leftChars="190" w:firstLine="0" w:firstLineChars="0"/>
        <w:rPr>
          <w:rFonts w:hint="eastAsia" w:eastAsia="宋体"/>
          <w:color w:val="000000"/>
          <w:szCs w:val="21"/>
          <w:lang w:val="en-US" w:eastAsia="zh-CN"/>
        </w:rPr>
      </w:pPr>
      <w:r>
        <w:rPr>
          <w:rFonts w:hint="eastAsia"/>
          <w:color w:val="000000"/>
          <w:sz w:val="20"/>
          <w:szCs w:val="20"/>
        </w:rPr>
        <w:t>版本信息：</w:t>
      </w:r>
      <w:r>
        <w:rPr>
          <w:rFonts w:hint="eastAsia"/>
          <w:color w:val="000000"/>
          <w:sz w:val="20"/>
          <w:szCs w:val="20"/>
          <w:lang w:val="en-US" w:eastAsia="zh-CN"/>
        </w:rPr>
        <w:t xml:space="preserve">ISBN </w:t>
      </w:r>
      <w:r>
        <w:rPr>
          <w:rFonts w:hint="eastAsia" w:ascii="Arial" w:hAnsi="Arial" w:eastAsia="宋体" w:cs="Arial"/>
          <w:i w:val="0"/>
          <w:caps w:val="0"/>
          <w:color w:val="333333"/>
          <w:spacing w:val="0"/>
          <w:sz w:val="18"/>
          <w:szCs w:val="18"/>
          <w:shd w:val="clear" w:fill="FFFFFF"/>
        </w:rPr>
        <w:t>97875364</w:t>
      </w:r>
      <w:r>
        <w:rPr>
          <w:rFonts w:hint="eastAsia" w:ascii="Arial" w:hAnsi="Arial" w:cs="Arial"/>
          <w:i w:val="0"/>
          <w:caps w:val="0"/>
          <w:color w:val="333333"/>
          <w:spacing w:val="0"/>
          <w:sz w:val="18"/>
          <w:szCs w:val="18"/>
          <w:shd w:val="clear" w:fill="FFFFFF"/>
          <w:lang w:val="en-US" w:eastAsia="zh-CN"/>
        </w:rPr>
        <w:t>61154  2007年1月出版</w:t>
      </w:r>
    </w:p>
    <w:p>
      <w:pPr>
        <w:adjustRightInd w:val="0"/>
        <w:snapToGrid w:val="0"/>
        <w:spacing w:line="288" w:lineRule="auto"/>
        <w:ind w:firstLine="411" w:firstLineChars="196"/>
        <w:rPr>
          <w:rFonts w:hint="eastAsia"/>
          <w:b w:val="0"/>
          <w:bCs w:val="0"/>
          <w:color w:val="000000"/>
          <w:sz w:val="21"/>
          <w:szCs w:val="21"/>
        </w:rPr>
      </w:pPr>
      <w:r>
        <w:rPr>
          <w:rFonts w:hint="eastAsia"/>
          <w:b w:val="0"/>
          <w:bCs w:val="0"/>
          <w:color w:val="000000"/>
          <w:sz w:val="21"/>
          <w:szCs w:val="21"/>
        </w:rPr>
        <w:t>教材【飓风之翼】</w:t>
      </w:r>
    </w:p>
    <w:p>
      <w:pPr>
        <w:adjustRightInd w:val="0"/>
        <w:snapToGrid w:val="0"/>
        <w:spacing w:line="288" w:lineRule="auto"/>
        <w:ind w:firstLine="411" w:firstLineChars="196"/>
        <w:rPr>
          <w:rFonts w:hint="eastAsia" w:eastAsia="宋体"/>
          <w:b w:val="0"/>
          <w:bCs w:val="0"/>
          <w:color w:val="000000"/>
          <w:sz w:val="21"/>
          <w:szCs w:val="21"/>
          <w:lang w:val="en-US" w:eastAsia="zh-CN"/>
        </w:rPr>
      </w:pPr>
      <w:r>
        <w:rPr>
          <w:rFonts w:hint="eastAsia"/>
          <w:b w:val="0"/>
          <w:bCs w:val="0"/>
          <w:color w:val="000000"/>
          <w:sz w:val="21"/>
          <w:szCs w:val="21"/>
        </w:rPr>
        <w:t>作者：张大勇.王东亮</w:t>
      </w:r>
      <w:r>
        <w:rPr>
          <w:rFonts w:hint="eastAsia"/>
          <w:b w:val="0"/>
          <w:bCs w:val="0"/>
          <w:color w:val="000000"/>
          <w:sz w:val="21"/>
          <w:szCs w:val="21"/>
          <w:lang w:val="en-US" w:eastAsia="zh-CN"/>
        </w:rPr>
        <w:t xml:space="preserve"> 原著：曹薰铉（韩）</w:t>
      </w:r>
    </w:p>
    <w:p>
      <w:pPr>
        <w:adjustRightInd w:val="0"/>
        <w:snapToGrid w:val="0"/>
        <w:spacing w:line="288" w:lineRule="auto"/>
        <w:ind w:firstLine="411" w:firstLineChars="196"/>
        <w:rPr>
          <w:rFonts w:hint="eastAsia"/>
          <w:b w:val="0"/>
          <w:bCs w:val="0"/>
          <w:color w:val="000000"/>
          <w:sz w:val="21"/>
          <w:szCs w:val="21"/>
        </w:rPr>
      </w:pPr>
      <w:r>
        <w:rPr>
          <w:rFonts w:hint="eastAsia"/>
          <w:b w:val="0"/>
          <w:bCs w:val="0"/>
          <w:color w:val="000000"/>
          <w:sz w:val="21"/>
          <w:szCs w:val="21"/>
        </w:rPr>
        <w:t>出版社：成都时代出版社 </w:t>
      </w:r>
    </w:p>
    <w:p>
      <w:pPr>
        <w:adjustRightInd w:val="0"/>
        <w:snapToGrid w:val="0"/>
        <w:spacing w:line="288" w:lineRule="auto"/>
        <w:ind w:firstLine="411" w:firstLineChars="196"/>
        <w:rPr>
          <w:b w:val="0"/>
          <w:bCs w:val="0"/>
          <w:color w:val="000000"/>
          <w:sz w:val="21"/>
          <w:szCs w:val="21"/>
        </w:rPr>
      </w:pPr>
      <w:r>
        <w:rPr>
          <w:rFonts w:hint="eastAsia"/>
          <w:b w:val="0"/>
          <w:bCs w:val="0"/>
          <w:color w:val="000000"/>
          <w:sz w:val="21"/>
          <w:szCs w:val="21"/>
        </w:rPr>
        <w:t>版本信息：ISBN 9787805486666   2000年1月出版</w:t>
      </w:r>
    </w:p>
    <w:p>
      <w:pPr>
        <w:adjustRightInd w:val="0"/>
        <w:snapToGrid w:val="0"/>
        <w:spacing w:line="288" w:lineRule="auto"/>
        <w:ind w:firstLine="394" w:firstLineChars="196"/>
        <w:rPr>
          <w:b/>
          <w:bCs/>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国家智力形态是一个国家集中表现出来的各个方面智慧形成的结构和表现形式。围棋的内涵与功能，使其在国家智力形态中占有重要地位。</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一）围棋具有深邃的哲学思想。围棋是哲学内涵最为丰富、深刻的智力博弈运动。围棋本身所具有的哲学内涵主要包括三个层次：第一是黑白两极对立统一的宇宙观；第二是形象思维与逻辑思维有机融合、高度统一的思维形态；第三是对行棋关系与进程的辩证思考，这是我们常说的围棋哲学内涵的主要部分。围棋进程充满了辩证关系，辩证法的基本要素、范畴和规律，包括矛盾双方的关联、依存、斗争和转化，都在围棋中得到充分体现。</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二）围棋蕴含着深厚的战略智慧、谋略艺术和管理文化。围棋被称为战略的游戏，体现的是战略的艺术。战略的突出特点是全局性、关联性、发展性，而围棋最重要的是大局观。围棋战略在很大程度上就是度势、布势和张势的智慧，这与一般战略筹划、指挥和操控具有高度的相似性。围棋是谋略最深厚的竞技，能够强化人们善用谋略的意识。围棋谋略不仅可应用于军队作战，也可应用于商业经营和社会治理。围棋还是识人识事的一种方法途径。</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480" w:firstLineChars="200"/>
        <w:jc w:val="left"/>
        <w:rPr>
          <w:rFonts w:hint="eastAsia" w:ascii="宋体" w:hAnsi="宋体"/>
          <w:color w:val="000000"/>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rFonts w:hint="eastAsia" w:eastAsia="宋体"/>
          <w:color w:val="000000"/>
          <w:sz w:val="24"/>
          <w:szCs w:val="24"/>
          <w:lang w:val="en-US" w:eastAsia="zh-CN"/>
        </w:rPr>
      </w:pPr>
      <w:r>
        <w:rPr>
          <w:rFonts w:hint="eastAsia"/>
          <w:color w:val="000000"/>
          <w:sz w:val="20"/>
          <w:szCs w:val="20"/>
          <w:lang w:val="en-US" w:eastAsia="zh-CN"/>
        </w:rPr>
        <w:t xml:space="preserve"> 新闻传播学院传播围棋专业学生。</w:t>
      </w:r>
    </w:p>
    <w:p>
      <w:pPr>
        <w:widowControl/>
        <w:spacing w:before="156" w:beforeLines="50" w:after="156" w:afterLines="50" w:line="288" w:lineRule="auto"/>
        <w:ind w:firstLine="480" w:firstLineChars="200"/>
        <w:jc w:val="left"/>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r>
        <w:rPr>
          <w:rFonts w:ascii="黑体" w:hAnsi="宋体" w:eastAsia="黑体"/>
          <w:sz w:val="24"/>
        </w:rPr>
        <w:t>四</w:t>
      </w:r>
      <w:r>
        <w:rPr>
          <w:rFonts w:hint="eastAsia" w:ascii="黑体" w:hAnsi="宋体" w:eastAsia="黑体"/>
          <w:sz w:val="24"/>
        </w:rPr>
        <w:t>、课程与专业毕业要求的关联性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LO11：理解沟通对象的观点，使用对方乐于接受的表达方式，使用专业知识技能，进行面对面的、融媒体的全方位沟通交流。</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LO21：能应对多变的职业环境和市场挑战，自主确定学习目标，并以阅读、分析、实践、创造等方法来解决实际问题。</w:t>
            </w:r>
          </w:p>
        </w:tc>
        <w:tc>
          <w:tcPr>
            <w:tcW w:w="727" w:type="dxa"/>
            <w:vAlign w:val="center"/>
          </w:tcPr>
          <w:p>
            <w:pPr>
              <w:widowControl/>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LO31：围棋技能：掌握围棋的基本理论、知识和专业技能，技艺达到业余3段水平。</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LO32：新媒体采编能力：掌握融媒体采访与写作、融媒体编辑与推送、网络直播、摄影摄像、视频节目制作等新媒体技能。</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LO33：围棋文化项目运营能力：熟悉线上线下各种运营手段，能够采用最合适最有效的方式，进行用户调研、文案的策划与写作、品牌推广、市场营销等。</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LO34：围棋产业管理能力：了解围棋产业概况，熟悉围棋文化法规及政策，掌握围棋产业管理的基本理论与方法，具备围棋相关单位的管理运行能力。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LO35：教学能力：熟悉教育理论，能够抓住学生学习心理，运用有针对性的教学方法，切实有效地提升学生的围棋水平。</w:t>
            </w:r>
          </w:p>
        </w:tc>
        <w:tc>
          <w:tcPr>
            <w:tcW w:w="727" w:type="dxa"/>
            <w:vAlign w:val="center"/>
          </w:tcPr>
          <w:p>
            <w:pPr>
              <w:widowControl/>
              <w:jc w:val="center"/>
              <w:rPr>
                <w:rFonts w:ascii="仿宋" w:hAnsi="仿宋" w:eastAsia="仿宋" w:cs="仿宋"/>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LO51：具有良好的团队精神，能在协同与合作中完成较为复杂的工作。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LO61：具备一定的信息分析能力，能对信息源进行提炼与整合，并加以利用，能应用信息技术解决常见问题。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LO71：愿意服务他人、服务企业、服务社会；为人热忱，富于爱心，懂得感恩。</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LO81：具有全球性的传统文化传播视野，日常韩语、日语或英语听、读能力过关，能运用韩、日、英语传递围棋文化。</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6"/>
        <w:tblpPr w:leftFromText="180" w:rightFromText="180" w:vertAnchor="text" w:horzAnchor="page" w:tblpX="2163" w:tblpY="152"/>
        <w:tblOverlap w:val="never"/>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LO2</w:t>
            </w:r>
            <w:r>
              <w:rPr>
                <w:rFonts w:hint="eastAsia" w:ascii="仿宋" w:hAnsi="仿宋" w:eastAsia="仿宋" w:cs="宋体"/>
                <w:color w:val="000000"/>
                <w:kern w:val="0"/>
                <w:sz w:val="24"/>
                <w:szCs w:val="24"/>
                <w:lang w:val="en-US" w:eastAsia="zh-CN"/>
              </w:rPr>
              <w:t>1</w:t>
            </w: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围棋综合性技艺</w:t>
            </w:r>
          </w:p>
        </w:tc>
        <w:tc>
          <w:tcPr>
            <w:tcW w:w="2199"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p>
        </w:tc>
        <w:tc>
          <w:tcPr>
            <w:tcW w:w="2470"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1.布局选点</w:t>
            </w:r>
          </w:p>
        </w:tc>
        <w:tc>
          <w:tcPr>
            <w:tcW w:w="2199" w:type="dxa"/>
            <w:shd w:val="clear" w:color="auto" w:fill="auto"/>
          </w:tcPr>
          <w:p>
            <w:pPr>
              <w:snapToGrid w:val="0"/>
              <w:spacing w:line="288" w:lineRule="auto"/>
              <w:jc w:val="center"/>
              <w:rPr>
                <w:rFonts w:hint="eastAsia" w:ascii="黑体" w:hAnsi="宋体" w:eastAsia="黑体"/>
                <w:sz w:val="21"/>
                <w:szCs w:val="20"/>
                <w:lang w:val="en-US" w:eastAsia="zh-CN"/>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eastAsia="zh-CN"/>
              </w:rPr>
              <w:t>布局题测试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eastAsia="zh-CN"/>
              </w:rPr>
              <w:t>死活题</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1"/>
                <w:szCs w:val="20"/>
                <w:lang w:eastAsia="zh-CN"/>
              </w:rPr>
              <w:t>死活题测试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3.</w:t>
            </w:r>
            <w:bookmarkStart w:id="1" w:name="_GoBack"/>
            <w:bookmarkEnd w:id="1"/>
            <w:r>
              <w:rPr>
                <w:rFonts w:hint="eastAsia" w:ascii="仿宋" w:hAnsi="仿宋" w:eastAsia="仿宋" w:cs="宋体"/>
                <w:color w:val="000000"/>
                <w:kern w:val="0"/>
                <w:sz w:val="24"/>
                <w:szCs w:val="24"/>
                <w:lang w:eastAsia="zh-CN"/>
              </w:rPr>
              <w:t>中盘战术</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eastAsia="zh-CN"/>
              </w:rPr>
              <w:t>中盘题测试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eastAsia="zh-CN"/>
              </w:rPr>
              <w:t>官子技巧</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ind w:firstLine="210" w:firstLineChars="100"/>
              <w:jc w:val="both"/>
              <w:rPr>
                <w:rFonts w:hint="eastAsia" w:ascii="黑体" w:hAnsi="宋体" w:eastAsia="黑体"/>
                <w:sz w:val="21"/>
                <w:szCs w:val="20"/>
                <w:lang w:eastAsia="zh-CN"/>
              </w:rPr>
            </w:pPr>
            <w:r>
              <w:rPr>
                <w:rFonts w:hint="eastAsia" w:ascii="黑体" w:hAnsi="宋体" w:eastAsia="黑体"/>
                <w:sz w:val="21"/>
                <w:szCs w:val="20"/>
                <w:lang w:eastAsia="zh-CN"/>
              </w:rPr>
              <w:t>官子题测试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35</w:t>
            </w: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实战</w:t>
            </w:r>
            <w:r>
              <w:rPr>
                <w:rFonts w:hint="eastAsia" w:ascii="仿宋" w:hAnsi="仿宋" w:eastAsia="仿宋" w:cs="宋体"/>
                <w:color w:val="000000"/>
                <w:kern w:val="0"/>
                <w:sz w:val="24"/>
                <w:szCs w:val="24"/>
                <w:lang w:eastAsia="zh-CN"/>
              </w:rPr>
              <w:t>对弈、复盘讲解</w:t>
            </w:r>
          </w:p>
        </w:tc>
        <w:tc>
          <w:tcPr>
            <w:tcW w:w="2199" w:type="dxa"/>
            <w:shd w:val="clear" w:color="auto" w:fill="auto"/>
            <w:vAlign w:val="top"/>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实战对弈、人工智能局后分析</w:t>
            </w:r>
          </w:p>
        </w:tc>
        <w:tc>
          <w:tcPr>
            <w:tcW w:w="1687" w:type="dxa"/>
            <w:shd w:val="clear" w:color="auto" w:fill="auto"/>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val="en-US" w:eastAsia="zh-CN"/>
              </w:rPr>
              <w:t>循环对弈</w:t>
            </w:r>
            <w:r>
              <w:rPr>
                <w:rFonts w:hint="eastAsia" w:ascii="黑体" w:hAnsi="宋体" w:eastAsia="黑体"/>
                <w:sz w:val="21"/>
                <w:szCs w:val="20"/>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网络</w:t>
            </w:r>
            <w:r>
              <w:rPr>
                <w:rFonts w:hint="eastAsia" w:ascii="仿宋" w:hAnsi="仿宋" w:eastAsia="仿宋" w:cs="宋体"/>
                <w:color w:val="000000"/>
                <w:kern w:val="0"/>
                <w:sz w:val="24"/>
                <w:szCs w:val="24"/>
                <w:lang w:eastAsia="zh-CN"/>
              </w:rPr>
              <w:t>对弈、复盘讲解</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网络对弈、人工智能局后分析</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网络级别审核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top"/>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指导</w:t>
            </w:r>
            <w:r>
              <w:rPr>
                <w:rFonts w:hint="eastAsia" w:ascii="仿宋" w:hAnsi="仿宋" w:eastAsia="仿宋" w:cs="宋体"/>
                <w:color w:val="000000"/>
                <w:kern w:val="0"/>
                <w:sz w:val="24"/>
                <w:szCs w:val="24"/>
                <w:lang w:eastAsia="zh-CN"/>
              </w:rPr>
              <w:t>对弈、复盘讲解</w:t>
            </w:r>
          </w:p>
        </w:tc>
        <w:tc>
          <w:tcPr>
            <w:tcW w:w="2199" w:type="dxa"/>
            <w:shd w:val="clear" w:color="auto" w:fill="auto"/>
            <w:vAlign w:val="top"/>
          </w:tcPr>
          <w:p>
            <w:pPr>
              <w:snapToGrid w:val="0"/>
              <w:spacing w:line="288" w:lineRule="auto"/>
              <w:jc w:val="center"/>
              <w:rPr>
                <w:rFonts w:hint="eastAsia" w:ascii="黑体" w:hAnsi="宋体" w:eastAsia="黑体"/>
                <w:sz w:val="21"/>
                <w:szCs w:val="20"/>
                <w:lang w:val="en-US" w:eastAsia="zh-CN"/>
              </w:rPr>
            </w:pPr>
            <w:r>
              <w:rPr>
                <w:rFonts w:hint="eastAsia" w:ascii="黑体" w:hAnsi="宋体" w:eastAsia="黑体"/>
                <w:sz w:val="21"/>
                <w:szCs w:val="20"/>
                <w:lang w:val="en-US" w:eastAsia="zh-CN"/>
              </w:rPr>
              <w:t>教师指导对弈</w:t>
            </w:r>
          </w:p>
        </w:tc>
        <w:tc>
          <w:tcPr>
            <w:tcW w:w="1687" w:type="dxa"/>
            <w:shd w:val="clear" w:color="auto" w:fill="auto"/>
            <w:vAlign w:val="top"/>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eastAsia="zh-CN"/>
              </w:rPr>
              <w:t>指导棋测试</w:t>
            </w:r>
          </w:p>
        </w:tc>
      </w:tr>
    </w:tbl>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widowControl/>
        <w:spacing w:line="288" w:lineRule="auto"/>
        <w:ind w:firstLine="400"/>
        <w:rPr>
          <w:rFonts w:hint="eastAsia" w:ascii="宋体" w:hAnsi="宋体"/>
          <w:color w:val="000000"/>
          <w:sz w:val="24"/>
          <w:lang w:eastAsia="zh-CN"/>
        </w:rPr>
      </w:pPr>
      <w:r>
        <w:rPr>
          <w:rFonts w:hint="eastAsia" w:ascii="宋体" w:hAnsi="宋体"/>
          <w:color w:val="000000"/>
          <w:sz w:val="24"/>
          <w:lang w:eastAsia="zh-CN"/>
        </w:rPr>
        <w:t>第一章　　　围棋综合性技艺</w:t>
      </w:r>
    </w:p>
    <w:p>
      <w:pPr>
        <w:widowControl/>
        <w:spacing w:line="288" w:lineRule="auto"/>
        <w:ind w:firstLine="400"/>
        <w:rPr>
          <w:rFonts w:hint="eastAsia" w:ascii="宋体" w:hAnsi="宋体"/>
          <w:color w:val="000000"/>
          <w:sz w:val="24"/>
        </w:rPr>
      </w:pPr>
      <w:r>
        <w:rPr>
          <w:rFonts w:hint="eastAsia" w:ascii="宋体" w:hAnsi="宋体"/>
          <w:color w:val="000000"/>
          <w:sz w:val="24"/>
        </w:rPr>
        <w:t>教学目标：</w:t>
      </w:r>
      <w:r>
        <w:rPr>
          <w:rFonts w:hint="eastAsia" w:ascii="宋体" w:hAnsi="宋体"/>
          <w:color w:val="000000"/>
          <w:sz w:val="24"/>
          <w:lang w:eastAsia="zh-CN"/>
        </w:rPr>
        <w:t>提高各方面</w:t>
      </w:r>
      <w:r>
        <w:rPr>
          <w:rFonts w:hint="eastAsia" w:ascii="宋体" w:hAnsi="宋体"/>
          <w:color w:val="000000"/>
          <w:sz w:val="24"/>
        </w:rPr>
        <w:t>围棋</w:t>
      </w:r>
      <w:r>
        <w:rPr>
          <w:rFonts w:hint="eastAsia" w:ascii="宋体" w:hAnsi="宋体"/>
          <w:color w:val="000000"/>
          <w:sz w:val="24"/>
          <w:lang w:eastAsia="zh-CN"/>
        </w:rPr>
        <w:t>技艺</w:t>
      </w:r>
      <w:r>
        <w:rPr>
          <w:rFonts w:hint="eastAsia" w:ascii="宋体" w:hAnsi="宋体"/>
          <w:color w:val="000000"/>
          <w:sz w:val="24"/>
        </w:rPr>
        <w:t>，</w:t>
      </w:r>
      <w:r>
        <w:rPr>
          <w:rFonts w:hint="eastAsia" w:ascii="宋体" w:hAnsi="宋体"/>
          <w:color w:val="000000"/>
          <w:sz w:val="24"/>
          <w:lang w:eastAsia="zh-CN"/>
        </w:rPr>
        <w:t>增强</w:t>
      </w:r>
      <w:r>
        <w:rPr>
          <w:rFonts w:hint="eastAsia" w:ascii="宋体" w:hAnsi="宋体"/>
          <w:color w:val="000000"/>
          <w:sz w:val="24"/>
        </w:rPr>
        <w:t>对局能力</w:t>
      </w:r>
    </w:p>
    <w:p>
      <w:pPr>
        <w:widowControl/>
        <w:spacing w:line="288" w:lineRule="auto"/>
        <w:ind w:firstLine="400"/>
        <w:rPr>
          <w:rFonts w:hint="eastAsia" w:ascii="宋体" w:hAnsi="宋体"/>
          <w:color w:val="000000"/>
          <w:sz w:val="24"/>
          <w:lang w:val="en-US" w:eastAsia="zh-CN"/>
        </w:rPr>
      </w:pPr>
      <w:r>
        <w:rPr>
          <w:rFonts w:hint="eastAsia" w:ascii="宋体" w:hAnsi="宋体"/>
          <w:color w:val="000000"/>
          <w:sz w:val="24"/>
        </w:rPr>
        <w:t>教学重点：</w:t>
      </w:r>
      <w:r>
        <w:rPr>
          <w:rFonts w:hint="eastAsia" w:ascii="宋体" w:hAnsi="宋体"/>
          <w:color w:val="000000"/>
          <w:sz w:val="24"/>
          <w:lang w:val="en-US" w:eastAsia="zh-CN"/>
        </w:rPr>
        <w:t xml:space="preserve"> </w:t>
      </w:r>
    </w:p>
    <w:p>
      <w:pPr>
        <w:widowControl/>
        <w:spacing w:line="288" w:lineRule="auto"/>
        <w:ind w:firstLine="1416" w:firstLineChars="590"/>
        <w:rPr>
          <w:rFonts w:hint="eastAsia" w:ascii="宋体" w:hAnsi="宋体" w:eastAsia="宋体"/>
          <w:color w:val="000000"/>
          <w:sz w:val="24"/>
          <w:lang w:eastAsia="zh-CN"/>
        </w:rPr>
      </w:pPr>
      <w:r>
        <w:rPr>
          <w:rFonts w:hint="eastAsia" w:ascii="宋体" w:hAnsi="宋体"/>
          <w:color w:val="000000"/>
          <w:sz w:val="24"/>
        </w:rPr>
        <w:t>１．</w:t>
      </w:r>
      <w:r>
        <w:rPr>
          <w:rFonts w:hint="eastAsia" w:ascii="宋体" w:hAnsi="宋体"/>
          <w:color w:val="000000"/>
          <w:sz w:val="24"/>
          <w:lang w:eastAsia="zh-CN"/>
        </w:rPr>
        <w:t>布局方法</w:t>
      </w:r>
    </w:p>
    <w:p>
      <w:pPr>
        <w:widowControl/>
        <w:numPr>
          <w:ilvl w:val="0"/>
          <w:numId w:val="1"/>
        </w:numPr>
        <w:spacing w:line="288" w:lineRule="auto"/>
        <w:ind w:firstLine="1400"/>
        <w:rPr>
          <w:rFonts w:hint="eastAsia" w:ascii="宋体" w:hAnsi="宋体"/>
          <w:color w:val="000000"/>
          <w:sz w:val="24"/>
          <w:lang w:eastAsia="zh-CN"/>
        </w:rPr>
      </w:pPr>
      <w:r>
        <w:rPr>
          <w:rFonts w:hint="eastAsia" w:ascii="宋体" w:hAnsi="宋体"/>
          <w:color w:val="000000"/>
          <w:sz w:val="24"/>
          <w:lang w:eastAsia="zh-CN"/>
        </w:rPr>
        <w:t>布局套路</w:t>
      </w:r>
    </w:p>
    <w:p>
      <w:pPr>
        <w:widowControl/>
        <w:numPr>
          <w:ilvl w:val="0"/>
          <w:numId w:val="1"/>
        </w:numPr>
        <w:spacing w:line="288" w:lineRule="auto"/>
        <w:ind w:firstLine="1400"/>
        <w:rPr>
          <w:rFonts w:hint="eastAsia" w:ascii="宋体" w:hAnsi="宋体"/>
          <w:color w:val="000000"/>
          <w:sz w:val="24"/>
        </w:rPr>
      </w:pPr>
      <w:r>
        <w:rPr>
          <w:rFonts w:hint="eastAsia" w:ascii="宋体" w:hAnsi="宋体"/>
          <w:color w:val="000000"/>
          <w:sz w:val="24"/>
          <w:lang w:eastAsia="zh-CN"/>
        </w:rPr>
        <w:t>中盘战术</w:t>
      </w:r>
    </w:p>
    <w:p>
      <w:pPr>
        <w:widowControl/>
        <w:spacing w:line="288" w:lineRule="auto"/>
        <w:ind w:firstLine="1400"/>
        <w:rPr>
          <w:rFonts w:hint="eastAsia" w:ascii="宋体" w:hAnsi="宋体" w:eastAsia="宋体"/>
          <w:color w:val="000000"/>
          <w:sz w:val="24"/>
          <w:lang w:eastAsia="zh-CN"/>
        </w:rPr>
      </w:pPr>
      <w:r>
        <w:rPr>
          <w:rFonts w:hint="eastAsia" w:ascii="宋体" w:hAnsi="宋体"/>
          <w:color w:val="000000"/>
          <w:sz w:val="24"/>
        </w:rPr>
        <w:t>４．</w:t>
      </w:r>
      <w:r>
        <w:rPr>
          <w:rFonts w:hint="eastAsia" w:ascii="宋体" w:hAnsi="宋体"/>
          <w:color w:val="000000"/>
          <w:sz w:val="24"/>
          <w:lang w:eastAsia="zh-CN"/>
        </w:rPr>
        <w:t>形式判断与分析</w:t>
      </w:r>
    </w:p>
    <w:p>
      <w:pPr>
        <w:widowControl/>
        <w:spacing w:line="288" w:lineRule="auto"/>
        <w:ind w:firstLine="1400"/>
        <w:rPr>
          <w:rFonts w:hint="eastAsia" w:ascii="宋体" w:hAnsi="宋体" w:eastAsia="宋体"/>
          <w:color w:val="000000"/>
          <w:sz w:val="24"/>
          <w:lang w:eastAsia="zh-CN"/>
        </w:rPr>
      </w:pPr>
      <w:r>
        <w:rPr>
          <w:rFonts w:hint="eastAsia" w:ascii="宋体" w:hAnsi="宋体"/>
          <w:color w:val="000000"/>
          <w:sz w:val="24"/>
        </w:rPr>
        <w:t>５．</w:t>
      </w:r>
      <w:r>
        <w:rPr>
          <w:rFonts w:hint="eastAsia" w:ascii="宋体" w:hAnsi="宋体"/>
          <w:color w:val="000000"/>
          <w:sz w:val="24"/>
          <w:lang w:eastAsia="zh-CN"/>
        </w:rPr>
        <w:t>胜负的意识</w:t>
      </w:r>
    </w:p>
    <w:p>
      <w:pPr>
        <w:widowControl/>
        <w:spacing w:line="288" w:lineRule="auto"/>
        <w:ind w:firstLine="1400"/>
        <w:rPr>
          <w:rFonts w:hint="eastAsia" w:ascii="宋体" w:hAnsi="宋体" w:eastAsia="宋体"/>
          <w:color w:val="000000"/>
          <w:sz w:val="24"/>
          <w:lang w:eastAsia="zh-CN"/>
        </w:rPr>
      </w:pPr>
      <w:r>
        <w:rPr>
          <w:rFonts w:hint="eastAsia" w:ascii="宋体" w:hAnsi="宋体"/>
          <w:color w:val="000000"/>
          <w:sz w:val="24"/>
        </w:rPr>
        <w:t>６．</w:t>
      </w:r>
      <w:r>
        <w:rPr>
          <w:rFonts w:hint="eastAsia" w:ascii="宋体" w:hAnsi="宋体"/>
          <w:color w:val="000000"/>
          <w:sz w:val="24"/>
          <w:lang w:eastAsia="zh-CN"/>
        </w:rPr>
        <w:t>官子大小与判断</w:t>
      </w:r>
    </w:p>
    <w:p>
      <w:pPr>
        <w:widowControl/>
        <w:spacing w:line="288" w:lineRule="auto"/>
        <w:ind w:firstLine="400"/>
        <w:rPr>
          <w:rFonts w:hint="eastAsia" w:ascii="宋体" w:hAnsi="宋体" w:eastAsia="宋体"/>
          <w:color w:val="000000"/>
          <w:sz w:val="24"/>
          <w:lang w:eastAsia="zh-CN"/>
        </w:rPr>
      </w:pPr>
      <w:r>
        <w:rPr>
          <w:rFonts w:hint="eastAsia" w:ascii="宋体" w:hAnsi="宋体"/>
          <w:color w:val="000000"/>
          <w:sz w:val="24"/>
        </w:rPr>
        <w:t>第二章　　围棋</w:t>
      </w:r>
      <w:r>
        <w:rPr>
          <w:rFonts w:hint="eastAsia" w:ascii="宋体" w:hAnsi="宋体"/>
          <w:color w:val="000000"/>
          <w:sz w:val="24"/>
          <w:lang w:eastAsia="zh-CN"/>
        </w:rPr>
        <w:t>专项训练</w:t>
      </w:r>
    </w:p>
    <w:p>
      <w:pPr>
        <w:widowControl/>
        <w:spacing w:line="288" w:lineRule="auto"/>
        <w:ind w:firstLine="400"/>
        <w:rPr>
          <w:rFonts w:hint="eastAsia" w:ascii="宋体" w:hAnsi="宋体" w:eastAsia="宋体"/>
          <w:color w:val="000000"/>
          <w:sz w:val="24"/>
          <w:lang w:eastAsia="zh-CN"/>
        </w:rPr>
      </w:pPr>
      <w:r>
        <w:rPr>
          <w:rFonts w:hint="eastAsia" w:ascii="宋体" w:hAnsi="宋体"/>
          <w:color w:val="000000"/>
          <w:sz w:val="24"/>
        </w:rPr>
        <w:t>教学目标：</w:t>
      </w:r>
      <w:r>
        <w:rPr>
          <w:rFonts w:hint="eastAsia" w:ascii="宋体" w:hAnsi="宋体"/>
          <w:color w:val="000000"/>
          <w:sz w:val="24"/>
          <w:lang w:eastAsia="zh-CN"/>
        </w:rPr>
        <w:t>提高计算力、判断力</w:t>
      </w:r>
    </w:p>
    <w:p>
      <w:pPr>
        <w:widowControl/>
        <w:spacing w:line="288" w:lineRule="auto"/>
        <w:ind w:firstLine="400"/>
        <w:rPr>
          <w:rFonts w:hint="eastAsia" w:ascii="宋体" w:hAnsi="宋体"/>
          <w:color w:val="000000"/>
          <w:sz w:val="24"/>
        </w:rPr>
      </w:pPr>
      <w:r>
        <w:rPr>
          <w:rFonts w:hint="eastAsia" w:ascii="宋体" w:hAnsi="宋体"/>
          <w:color w:val="000000"/>
          <w:sz w:val="24"/>
        </w:rPr>
        <w:t>教学重点：</w:t>
      </w:r>
    </w:p>
    <w:p>
      <w:pPr>
        <w:widowControl/>
        <w:spacing w:line="288" w:lineRule="auto"/>
        <w:ind w:firstLine="1416" w:firstLineChars="590"/>
        <w:rPr>
          <w:rFonts w:hint="eastAsia" w:ascii="宋体" w:hAnsi="宋体" w:eastAsia="宋体"/>
          <w:color w:val="000000"/>
          <w:sz w:val="24"/>
          <w:lang w:eastAsia="zh-CN"/>
        </w:rPr>
      </w:pPr>
      <w:r>
        <w:rPr>
          <w:rFonts w:hint="eastAsia" w:ascii="宋体" w:hAnsi="宋体"/>
          <w:color w:val="000000"/>
          <w:sz w:val="24"/>
        </w:rPr>
        <w:t>１．</w:t>
      </w:r>
      <w:r>
        <w:rPr>
          <w:rFonts w:hint="eastAsia" w:ascii="宋体" w:hAnsi="宋体"/>
          <w:color w:val="000000"/>
          <w:sz w:val="24"/>
          <w:lang w:eastAsia="zh-CN"/>
        </w:rPr>
        <w:t>布局选点判断题</w:t>
      </w:r>
    </w:p>
    <w:p>
      <w:pPr>
        <w:widowControl/>
        <w:spacing w:line="288" w:lineRule="auto"/>
        <w:ind w:firstLine="1400"/>
        <w:rPr>
          <w:rFonts w:hint="eastAsia" w:ascii="宋体" w:hAnsi="宋体" w:eastAsia="宋体"/>
          <w:color w:val="000000"/>
          <w:sz w:val="24"/>
          <w:lang w:eastAsia="zh-CN"/>
        </w:rPr>
      </w:pPr>
      <w:r>
        <w:rPr>
          <w:rFonts w:hint="eastAsia" w:ascii="宋体" w:hAnsi="宋体"/>
          <w:color w:val="000000"/>
          <w:sz w:val="24"/>
        </w:rPr>
        <w:t>２．</w:t>
      </w:r>
      <w:r>
        <w:rPr>
          <w:rFonts w:hint="eastAsia" w:ascii="宋体" w:hAnsi="宋体"/>
          <w:color w:val="000000"/>
          <w:sz w:val="24"/>
          <w:lang w:eastAsia="zh-CN"/>
        </w:rPr>
        <w:t>死活计算题</w:t>
      </w:r>
    </w:p>
    <w:p>
      <w:pPr>
        <w:widowControl/>
        <w:spacing w:line="288" w:lineRule="auto"/>
        <w:ind w:firstLine="1400"/>
        <w:rPr>
          <w:rFonts w:hint="eastAsia" w:ascii="宋体" w:hAnsi="宋体" w:eastAsia="宋体"/>
          <w:color w:val="000000"/>
          <w:sz w:val="24"/>
          <w:lang w:eastAsia="zh-CN"/>
        </w:rPr>
      </w:pPr>
      <w:r>
        <w:rPr>
          <w:rFonts w:hint="eastAsia" w:ascii="宋体" w:hAnsi="宋体"/>
          <w:color w:val="000000"/>
          <w:sz w:val="24"/>
        </w:rPr>
        <w:t>３．</w:t>
      </w:r>
      <w:r>
        <w:rPr>
          <w:rFonts w:hint="eastAsia" w:ascii="宋体" w:hAnsi="宋体"/>
          <w:color w:val="000000"/>
          <w:sz w:val="24"/>
          <w:lang w:eastAsia="zh-CN"/>
        </w:rPr>
        <w:t>中盘判断题</w:t>
      </w:r>
    </w:p>
    <w:p>
      <w:pPr>
        <w:widowControl/>
        <w:spacing w:line="288" w:lineRule="auto"/>
        <w:ind w:firstLine="1400"/>
        <w:rPr>
          <w:rFonts w:hint="eastAsia" w:ascii="宋体" w:hAnsi="宋体"/>
          <w:color w:val="000000"/>
          <w:sz w:val="24"/>
        </w:rPr>
      </w:pPr>
      <w:r>
        <w:rPr>
          <w:rFonts w:hint="eastAsia" w:ascii="宋体" w:hAnsi="宋体"/>
          <w:color w:val="000000"/>
          <w:sz w:val="24"/>
        </w:rPr>
        <w:t>４．</w:t>
      </w:r>
      <w:r>
        <w:rPr>
          <w:rFonts w:hint="eastAsia" w:ascii="宋体" w:hAnsi="宋体"/>
          <w:color w:val="000000"/>
          <w:sz w:val="24"/>
          <w:lang w:eastAsia="zh-CN"/>
        </w:rPr>
        <w:t>官子大小计算题</w:t>
      </w:r>
    </w:p>
    <w:p>
      <w:pPr>
        <w:widowControl/>
        <w:spacing w:line="288" w:lineRule="auto"/>
        <w:ind w:firstLine="400"/>
        <w:rPr>
          <w:rFonts w:hint="eastAsia" w:ascii="宋体" w:hAnsi="宋体" w:eastAsia="宋体"/>
          <w:color w:val="000000"/>
          <w:sz w:val="24"/>
          <w:lang w:eastAsia="zh-CN"/>
        </w:rPr>
      </w:pPr>
      <w:r>
        <w:rPr>
          <w:rFonts w:hint="eastAsia" w:ascii="宋体" w:hAnsi="宋体"/>
          <w:color w:val="000000"/>
          <w:sz w:val="24"/>
        </w:rPr>
        <w:t>第三章　　</w:t>
      </w:r>
      <w:r>
        <w:rPr>
          <w:rFonts w:hint="eastAsia" w:ascii="宋体" w:hAnsi="宋体"/>
          <w:color w:val="000000"/>
          <w:sz w:val="24"/>
          <w:lang w:eastAsia="zh-CN"/>
        </w:rPr>
        <w:t>高手实战对局分析</w:t>
      </w:r>
    </w:p>
    <w:p>
      <w:pPr>
        <w:widowControl/>
        <w:spacing w:line="288" w:lineRule="auto"/>
        <w:ind w:firstLine="400"/>
        <w:rPr>
          <w:rFonts w:hint="eastAsia" w:ascii="宋体" w:hAnsi="宋体"/>
          <w:color w:val="000000"/>
          <w:sz w:val="24"/>
        </w:rPr>
      </w:pPr>
      <w:r>
        <w:rPr>
          <w:rFonts w:hint="eastAsia" w:ascii="宋体" w:hAnsi="宋体"/>
          <w:color w:val="000000"/>
          <w:sz w:val="24"/>
        </w:rPr>
        <w:t>教学目标：</w:t>
      </w:r>
      <w:r>
        <w:rPr>
          <w:rFonts w:hint="eastAsia" w:ascii="宋体" w:hAnsi="宋体"/>
          <w:color w:val="000000"/>
          <w:sz w:val="24"/>
          <w:lang w:eastAsia="zh-CN"/>
        </w:rPr>
        <w:t>学习与分析</w:t>
      </w:r>
      <w:r>
        <w:rPr>
          <w:rFonts w:hint="eastAsia" w:ascii="宋体" w:hAnsi="宋体"/>
          <w:color w:val="000000"/>
          <w:sz w:val="24"/>
        </w:rPr>
        <w:t>各</w:t>
      </w:r>
      <w:r>
        <w:rPr>
          <w:rFonts w:hint="eastAsia" w:ascii="宋体" w:hAnsi="宋体"/>
          <w:color w:val="000000"/>
          <w:sz w:val="24"/>
          <w:lang w:eastAsia="zh-CN"/>
        </w:rPr>
        <w:t>国</w:t>
      </w:r>
      <w:r>
        <w:rPr>
          <w:rFonts w:hint="eastAsia" w:ascii="宋体" w:hAnsi="宋体"/>
          <w:color w:val="000000"/>
          <w:sz w:val="24"/>
        </w:rPr>
        <w:t>围棋</w:t>
      </w:r>
      <w:r>
        <w:rPr>
          <w:rFonts w:hint="eastAsia" w:ascii="宋体" w:hAnsi="宋体"/>
          <w:color w:val="000000"/>
          <w:sz w:val="24"/>
          <w:lang w:eastAsia="zh-CN"/>
        </w:rPr>
        <w:t>顶尖高手对局思路与技巧</w:t>
      </w:r>
    </w:p>
    <w:p>
      <w:pPr>
        <w:widowControl/>
        <w:spacing w:line="288" w:lineRule="auto"/>
        <w:ind w:firstLine="400"/>
        <w:rPr>
          <w:rFonts w:hint="eastAsia" w:ascii="宋体" w:hAnsi="宋体"/>
          <w:color w:val="000000"/>
          <w:sz w:val="24"/>
        </w:rPr>
      </w:pPr>
      <w:r>
        <w:rPr>
          <w:rFonts w:hint="eastAsia" w:ascii="宋体" w:hAnsi="宋体"/>
          <w:color w:val="000000"/>
          <w:sz w:val="24"/>
        </w:rPr>
        <w:t>教学重点：</w:t>
      </w:r>
    </w:p>
    <w:p>
      <w:pPr>
        <w:widowControl/>
        <w:spacing w:line="288" w:lineRule="auto"/>
        <w:ind w:firstLine="1656" w:firstLineChars="690"/>
        <w:rPr>
          <w:rFonts w:hint="eastAsia" w:ascii="宋体" w:hAnsi="宋体" w:eastAsia="宋体"/>
          <w:color w:val="000000"/>
          <w:sz w:val="24"/>
          <w:lang w:eastAsia="zh-CN"/>
        </w:rPr>
      </w:pPr>
      <w:r>
        <w:rPr>
          <w:rFonts w:hint="eastAsia" w:ascii="宋体" w:hAnsi="宋体"/>
          <w:color w:val="000000"/>
          <w:sz w:val="24"/>
        </w:rPr>
        <w:t>１．中、日、韩国内</w:t>
      </w:r>
      <w:r>
        <w:rPr>
          <w:rFonts w:hint="eastAsia" w:ascii="宋体" w:hAnsi="宋体"/>
          <w:color w:val="000000"/>
          <w:sz w:val="24"/>
          <w:lang w:eastAsia="zh-CN"/>
        </w:rPr>
        <w:t>顶尖</w:t>
      </w:r>
      <w:r>
        <w:rPr>
          <w:rFonts w:hint="eastAsia" w:ascii="宋体" w:hAnsi="宋体"/>
          <w:color w:val="000000"/>
          <w:sz w:val="24"/>
        </w:rPr>
        <w:t>职业赛</w:t>
      </w:r>
      <w:r>
        <w:rPr>
          <w:rFonts w:hint="eastAsia" w:ascii="宋体" w:hAnsi="宋体"/>
          <w:color w:val="000000"/>
          <w:sz w:val="24"/>
          <w:lang w:eastAsia="zh-CN"/>
        </w:rPr>
        <w:t>、世界级大赛分析</w:t>
      </w:r>
    </w:p>
    <w:p>
      <w:pPr>
        <w:widowControl/>
        <w:spacing w:line="288" w:lineRule="auto"/>
        <w:ind w:firstLine="1680" w:firstLineChars="700"/>
        <w:rPr>
          <w:sz w:val="20"/>
          <w:szCs w:val="20"/>
        </w:rPr>
      </w:pPr>
      <w:r>
        <w:rPr>
          <w:rFonts w:hint="eastAsia" w:ascii="宋体" w:hAnsi="宋体"/>
          <w:color w:val="000000"/>
          <w:sz w:val="24"/>
        </w:rPr>
        <w:t>２．</w:t>
      </w:r>
      <w:r>
        <w:rPr>
          <w:rFonts w:hint="eastAsia" w:ascii="宋体" w:hAnsi="宋体"/>
          <w:color w:val="000000"/>
          <w:sz w:val="24"/>
          <w:lang w:eastAsia="zh-CN"/>
        </w:rPr>
        <w:t>自战对局分析</w:t>
      </w:r>
    </w:p>
    <w:p>
      <w:pPr>
        <w:widowControl/>
        <w:spacing w:beforeLines="50" w:afterLines="50" w:line="288" w:lineRule="auto"/>
        <w:ind w:firstLine="360" w:firstLineChars="150"/>
        <w:jc w:val="left"/>
        <w:rPr>
          <w:rFonts w:hint="eastAsia" w:ascii="黑体" w:hAnsi="宋体" w:eastAsia="黑体"/>
          <w:sz w:val="24"/>
          <w:lang w:val="en-US" w:eastAsia="zh-CN"/>
        </w:rPr>
      </w:pPr>
    </w:p>
    <w:p>
      <w:pPr>
        <w:widowControl/>
        <w:spacing w:beforeLines="50" w:afterLines="50" w:line="288" w:lineRule="auto"/>
        <w:ind w:firstLine="360" w:firstLineChars="150"/>
        <w:jc w:val="left"/>
        <w:rPr>
          <w:rFonts w:hint="eastAsia" w:ascii="黑体" w:hAnsi="宋体" w:eastAsia="黑体"/>
          <w:sz w:val="24"/>
          <w:lang w:val="en-US" w:eastAsia="zh-CN"/>
        </w:rPr>
      </w:pPr>
    </w:p>
    <w:p>
      <w:pPr>
        <w:widowControl/>
        <w:spacing w:beforeLines="50" w:afterLines="50" w:line="288" w:lineRule="auto"/>
        <w:ind w:firstLine="360" w:firstLineChars="150"/>
        <w:jc w:val="left"/>
        <w:rPr>
          <w:rFonts w:hint="eastAsia" w:ascii="黑体" w:hAnsi="宋体" w:eastAsia="黑体"/>
          <w:sz w:val="24"/>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668"/>
        <w:gridCol w:w="3336"/>
        <w:gridCol w:w="926"/>
        <w:gridCol w:w="108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8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6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布局套路</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各种布局方式的学习和运用</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16</w:t>
            </w:r>
          </w:p>
        </w:tc>
        <w:tc>
          <w:tcPr>
            <w:tcW w:w="108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综合</w:t>
            </w:r>
          </w:p>
        </w:tc>
        <w:tc>
          <w:tcPr>
            <w:tcW w:w="176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中盘战术</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中盘战略，翻盘战术等</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16</w:t>
            </w:r>
          </w:p>
        </w:tc>
        <w:tc>
          <w:tcPr>
            <w:tcW w:w="108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综合</w:t>
            </w:r>
          </w:p>
        </w:tc>
        <w:tc>
          <w:tcPr>
            <w:tcW w:w="176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官子技巧</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官子的计算方法以及常见官子的大小</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16</w:t>
            </w:r>
          </w:p>
        </w:tc>
        <w:tc>
          <w:tcPr>
            <w:tcW w:w="108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综合</w:t>
            </w:r>
          </w:p>
        </w:tc>
        <w:tc>
          <w:tcPr>
            <w:tcW w:w="176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计算力提升</w:t>
            </w: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死活题的计算方法与实战的计算技巧</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16</w:t>
            </w:r>
          </w:p>
        </w:tc>
        <w:tc>
          <w:tcPr>
            <w:tcW w:w="108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综合</w:t>
            </w:r>
          </w:p>
        </w:tc>
        <w:tc>
          <w:tcPr>
            <w:tcW w:w="176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8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66"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hint="eastAsia" w:ascii="宋体" w:eastAsia="宋体"/>
                <w:sz w:val="16"/>
                <w:szCs w:val="16"/>
                <w:lang w:val="en-US" w:eastAsia="zh-CN"/>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期末考试</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Lines="50" w:afterLines="50"/>
              <w:jc w:val="both"/>
              <w:rPr>
                <w:rFonts w:hint="eastAsia" w:ascii="宋体" w:hAnsi="宋体" w:eastAsia="宋体"/>
                <w:bCs/>
                <w:color w:val="000000"/>
                <w:szCs w:val="20"/>
                <w:lang w:val="en-US" w:eastAsia="zh-CN"/>
              </w:rPr>
            </w:pPr>
            <w:r>
              <w:rPr>
                <w:rFonts w:hint="eastAsia" w:ascii="宋体" w:hAnsi="宋体"/>
                <w:bCs/>
                <w:color w:val="000000"/>
                <w:szCs w:val="20"/>
                <w:lang w:val="en-US" w:eastAsia="zh-CN"/>
              </w:rPr>
              <w:t xml:space="preserve">                   实战对弈</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赛事棋评</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出勤</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九</w:t>
      </w:r>
      <w:r>
        <w:rPr>
          <w:rFonts w:hint="eastAsia" w:ascii="黑体" w:hAnsi="宋体" w:eastAsia="黑体"/>
          <w:sz w:val="24"/>
        </w:rPr>
        <w:t>、评价方式与成绩</w:t>
      </w:r>
      <w:r>
        <w:rPr>
          <w:rFonts w:ascii="黑体" w:hAnsi="宋体" w:eastAsia="黑体"/>
          <w:sz w:val="24"/>
        </w:rPr>
        <w:t>（必填项）</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汪逸尘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6F2E"/>
    <w:multiLevelType w:val="singleLevel"/>
    <w:tmpl w:val="336A6F2E"/>
    <w:lvl w:ilvl="0" w:tentative="0">
      <w:start w:val="2"/>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9377D8F"/>
    <w:rsid w:val="0A8128A6"/>
    <w:rsid w:val="0BF32A1B"/>
    <w:rsid w:val="10BD2C22"/>
    <w:rsid w:val="13797C8E"/>
    <w:rsid w:val="15BF7974"/>
    <w:rsid w:val="22987C80"/>
    <w:rsid w:val="24192CCC"/>
    <w:rsid w:val="27367752"/>
    <w:rsid w:val="2C044FC1"/>
    <w:rsid w:val="2CAB1E2A"/>
    <w:rsid w:val="2E8F52BE"/>
    <w:rsid w:val="312A515E"/>
    <w:rsid w:val="35F54B48"/>
    <w:rsid w:val="37670112"/>
    <w:rsid w:val="39A66CD4"/>
    <w:rsid w:val="3B6A10CB"/>
    <w:rsid w:val="3CD52CE1"/>
    <w:rsid w:val="3F9236AB"/>
    <w:rsid w:val="410F2E6A"/>
    <w:rsid w:val="41452DB0"/>
    <w:rsid w:val="4430136C"/>
    <w:rsid w:val="4AB0382B"/>
    <w:rsid w:val="50A14A6B"/>
    <w:rsid w:val="527C569B"/>
    <w:rsid w:val="569868B5"/>
    <w:rsid w:val="611F6817"/>
    <w:rsid w:val="65AA1EF3"/>
    <w:rsid w:val="66CA1754"/>
    <w:rsid w:val="69B071D3"/>
    <w:rsid w:val="6F1E65D4"/>
    <w:rsid w:val="6F266C86"/>
    <w:rsid w:val="6F5042C2"/>
    <w:rsid w:val="74316312"/>
    <w:rsid w:val="780F13C8"/>
    <w:rsid w:val="79F97280"/>
    <w:rsid w:val="7BA538EF"/>
    <w:rsid w:val="7C385448"/>
    <w:rsid w:val="7CB3663D"/>
    <w:rsid w:val="7D471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Chen</cp:lastModifiedBy>
  <dcterms:modified xsi:type="dcterms:W3CDTF">2019-03-13T06:33:08Z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