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行政管理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highlight w:val="none"/>
        </w:rPr>
        <w:t>The administrative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2030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518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秘书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B17-1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系级必修课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eastAsia="zh-CN"/>
        </w:rPr>
        <w:t>《行政管理学（第六版）》夏书章主编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中山大学出版社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2018年5月第6版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Theme="majorEastAsia" w:hAnsiTheme="majorEastAsia" w:eastAsiaTheme="majorEastAsia"/>
          <w:color w:val="000000"/>
          <w:sz w:val="20"/>
          <w:szCs w:val="20"/>
          <w:lang w:eastAsia="zh-CN"/>
        </w:rPr>
        <w:t>《秘书工作案例与分析（第三版）》暨南大学出版社</w:t>
      </w:r>
      <w:r>
        <w:rPr>
          <w:rFonts w:hint="eastAsia" w:asciiTheme="majorEastAsia" w:hAnsiTheme="majorEastAsia" w:eastAsiaTheme="majorEastAsia"/>
          <w:color w:val="000000"/>
          <w:sz w:val="20"/>
          <w:szCs w:val="20"/>
          <w:lang w:val="en-US" w:eastAsia="zh-CN"/>
        </w:rPr>
        <w:t xml:space="preserve"> 2016年6月第2版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行政管理是一门综合性、应用性的科学，是从行政的角度总结、归纳、概括出来的科学原理，它主要介绍行政管理的基本知识、基本理论和基本技能，注重其基础性、系统性、前沿性，强化理论与实际的紧密结合，用于提高学生在日常行政管理工作中分析问题，解决问题的能力。主要内容包括：行政管理的发展，行政环境、行政职能、行政组织、行政领导、人事行政、行政沟通、行政伦理、行政法治、行政监督、公共危机管理、办公室管理与后勤管理、行政改革与发展等方面。这些基本理论知识对于各行各业的管理都具有指导意义，任何将来有可能从事管理工作的学生都有必要了解和学习该门课程。通过学习，既能调动学生对行政管理工作的兴趣，使其充分认识到行政管理的实用性，又可以提高学生从事行政管理的能力，为日后步入工作岗位奠定基础。本课程通过小组讨论与口头汇报的形式，通过运用课内所学理论知识和头脑风暴法，分析案例，加强学生对行政管理学基础知识的认识和掌握，提高学生的口头表达能力，撰写能力和分析能力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本课程面向秘书学专业二年级学生，帮助学生掌握行政管理原理与方法，结合案例分析的实践形成自己的行政管理理念与思想，为日后其它专业课程的学习奠定基础。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hint="eastAsia"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horzAnchor="margin" w:tblpY="1080"/>
        <w:tblW w:w="8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具有办公室环境管理、接待、日常事务管理等方面的基本能力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  <w:lang w:eastAsia="zh-CN"/>
        </w:rPr>
        <w:t>五</w:t>
      </w:r>
      <w:r>
        <w:rPr>
          <w:rFonts w:hint="eastAsia" w:ascii="黑体" w:hAnsi="宋体" w:eastAsia="黑体"/>
          <w:sz w:val="24"/>
          <w:highlight w:val="yellow"/>
        </w:rPr>
        <w:t>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tbl>
      <w:tblPr>
        <w:tblStyle w:val="5"/>
        <w:tblpPr w:leftFromText="180" w:rightFromText="180" w:vertAnchor="text" w:horzAnchor="page" w:tblpX="2037" w:tblpY="27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5"/>
        <w:gridCol w:w="32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55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课程预期学习成果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应用书面或口头形式，阐释自己的观点，有效沟通。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案例分析、小组报告、讲评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讲授、案例分析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案例分析报告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掌握基础的商务和管理知识。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开卷考试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诚实守信：为人诚实，信守承诺，尽职尽责。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奉献社会：具有服务企业、服务社会的意愿和行为能力。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课堂表现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yellow"/>
          <w:lang w:eastAsia="zh-CN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第一周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导论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介绍行政管理与行政管理学；介绍行政管理学在中国的发展；介绍如何建设和发展中国特色社会主义行政管理学。重点和难点是：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管理与行政管理学、行政管理与行政环境、当代西方行政管理学的发展趋势、建设中国特色行政管理学应遵循的基本原则、行政学研究在中国化的主要举措；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第二周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行政环境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系统与外部环境的互动分析；介绍经济、政治、环境对行政系统的影响；介绍文化、民族和宗教环境对行政系统的影响；介绍自然环境和国际社会环境对行政系统的影响；介绍如何创建良好的外部环境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环境的含义、行政环境的构成、掌握经济、政治环境对行政系统的影响、掌握文化、民族和宗教对行政系统的影响；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>三</w:t>
      </w:r>
      <w:r>
        <w:rPr>
          <w:rFonts w:hint="eastAsia" w:ascii="黑体" w:hAnsi="宋体" w:eastAsia="黑体"/>
          <w:sz w:val="24"/>
          <w:highlight w:val="none"/>
          <w:lang w:eastAsia="zh-CN"/>
        </w:rPr>
        <w:t>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行政职能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介绍行政职能的含义、特点、体系及意义；介绍西方国家行政职能的演变；介绍转归时期我国行政职能的转变。重点和难点是：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职能体系；自由资本主义时期的行政职能、垄断资本主义时期的行政职能、当代资本主义的行政职能；我国行政职能转变的重点；使学生在掌握理论知识的同时，能运用理论知识进行案例分析；掌握与同学一起讨论并找到解决问题的方法。</w:t>
      </w:r>
    </w:p>
    <w:p>
      <w:pPr>
        <w:ind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第四周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行政组织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介绍行政组织的概念、类型、结构；介绍行政组织理论；介绍行政组织编制管理。重点和难点是：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组织的基本要素、行政组织的结构；西方行政组织理论的演变、马克思主义的行政组织理论；编制管理的含义和具体内容；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第五周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行政领导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领导的含义、特点、领导、管理工作专业化、行政领导的含义、特点和作用；介绍行政领导的职务、职权和责任；介绍行政领导制度；介绍行政领导的方法、方式和艺术；介绍行政领导的素质结构及其优化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领导的含义、特点；行政领导的含义、特点及其地位、作用；行政领导者的职权和权威；集体领导、个人分工负责与行政首长负责制；行政领导艺术；行政领导素质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第六周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人事行政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介绍人事管理、人事行政和人力资源管理；介绍国家公务员制度；介绍中国人事行政的变革。重点和难点是：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使学生了解人事管理、人力资源管理；中国的公务员制度、政府雇员制。使学生在掌握理论知识的同时，能运用理论知识进行案例分析；掌握与同学一起讨论并找到解决问题的方法。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第七周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行政沟通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介绍行政沟通的概念和要素；沟通的机制和方法；介绍政府对外传播；介绍新媒体背景下的政府传播。重点和难点是：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沟通主体：行政组织和组织化了的个人；掌握沟通内容：行政信息、沟通渠道：质量与选择、沟通对象：受众心理与状态分析；新媒体在政府传播中的应用；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第八周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行政伦理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介绍行政伦理的兴起背景与发展态势、行政伦理的功能；介绍伦理的结构与内容；介绍行政伦理的基本问题；介绍当代中国行政伦理。重点和难点是：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伦理的兴起背景与发展态势、行政伦理的功能；行政组织伦理、行政个体伦理；当代中国行政伦理规范的来源、当代中国行政伦理规范的内容。使学生在掌握理论知识的同时，能运用理论知识进行案例分析；掌握与同学一起讨论并找到解决问题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第九周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行政法治 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介绍行政法治的含义、公共行政的法律逻辑、西方国家法治行政的历史演进；介绍行政立法；介绍我国行政管理的法治化。重点和难点是：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公共行政的法律逻辑、西方国家法治行政的历史演变；行政立法的权力配置、行政立法监督；我国法治行政建设的必要性、目标与具体措施、我国行政管理法治化的主要内容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行政监督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介绍行政权力制约的基本理论；介绍行政监督体系；介绍我国行政监督机制的完善。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行政权力制约的基本理论（分权制衡理论、人民主权理论、社会契约论）、行政管理内、外部监督体系；我国行政监督机制存在的问题、完善我国行政监督机制的措施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第十一周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公共危机管理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公共危机管理的概念、公共危机的分类、分级与分期、公共危机管理的重要性和必要性；介绍公共管理体制；介绍公共危机管理的机制。重点和难点是：使学生了解公共危机的分类、分级与分期、公共危机管理的重要性和必要性；公共危机管理的领导体制、公共危机管理的职能与结构；公共危机的预警机制、公共危机的决策机制、公共危机的应对机制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第十二周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办公室管理与后勤管理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办公室工作的性质和任务；介绍办公室管理的科学化和现代化；介绍后勤管理的重要意义与主要内容；介绍后勤管理体制改革。重点和难点是：使学生了解办公室工作的基本任务；办公室管理的科学化、办公自动化；后勤管理的意义、后勤管理的主要内容；后勤管理体制改革的必要性、后勤管理体制改革的内容、后勤管理体制改革的目的。使学生在掌握理论知识的同时，能运用理论知识进行案例分析；掌握与同学一起讨论并找到解决问题的方法。</w:t>
      </w:r>
    </w:p>
    <w:p>
      <w:pPr>
        <w:ind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第十三周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行政改革与发展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行政改革的含义、必然性；介绍当代国家的行政改革；介绍当代中国的行政改革及展望。重点和难点是：使学生了解行政改革的必然性；当代西方国家行政改革的基本趋势、当代西方国家行政改革的主要特点；当代中国的行政改革、中国行政改革的经验及展望。使学生在掌握理论知识的同时，能运用理论知识进行案例分析；掌握与同学一起讨论并找到解决问题的方法。</w:t>
      </w:r>
    </w:p>
    <w:p>
      <w:pPr>
        <w:ind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第十四周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案例分析汇报（一）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组织1-5组，进行小组案例汇报。“多部门的食品监管-为何几个部门管不好一头猪”、“行政环境与大部门体制改革”、“谁来牵走这条破船”、“A县非常设机构的建立与撤销”、“行政领导决策盲目性导致的后果”五个案例。重点和难点是： 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第十五周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案例分析汇报（二）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组织6-10组，进行小组案例汇报。“邓玉娇刺死官员案”、“陕西省勉县110久呼不至案”、“土地违法的成就”、“审计风暴引发的思考”、“北美大停电与纽约市的危机处理”五个案例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第十六周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随堂开卷考试。</w:t>
      </w: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default" w:ascii="宋体" w:hAnsi="宋体" w:eastAsia="宋体" w:cs="Arial"/>
          <w:kern w:val="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default" w:ascii="宋体" w:hAnsi="宋体" w:eastAsia="宋体" w:cs="Arial"/>
          <w:kern w:val="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eastAsia" w:ascii="宋体" w:hAnsi="宋体" w:eastAsia="宋体" w:cs="Arial"/>
          <w:kern w:val="0"/>
          <w:sz w:val="21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default" w:ascii="宋体" w:hAnsi="宋体" w:eastAsia="宋体" w:cs="Arial"/>
          <w:kern w:val="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default" w:ascii="宋体" w:hAnsi="宋体" w:eastAsia="宋体" w:cs="Arial"/>
          <w:kern w:val="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20" w:firstLineChars="200"/>
        <w:jc w:val="left"/>
        <w:rPr>
          <w:rFonts w:hint="default" w:ascii="宋体" w:hAnsi="宋体" w:eastAsia="宋体" w:cs="Arial"/>
          <w:kern w:val="0"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考试试卷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小组口头汇报、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PPT、案例分析报告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个人案例分析报告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（课堂回答问题、出勤率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邓科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128AD"/>
    <w:multiLevelType w:val="singleLevel"/>
    <w:tmpl w:val="B7A128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1642DA1"/>
    <w:rsid w:val="024B0C39"/>
    <w:rsid w:val="03192482"/>
    <w:rsid w:val="034E4D25"/>
    <w:rsid w:val="05DF43EB"/>
    <w:rsid w:val="06CD4C74"/>
    <w:rsid w:val="07910517"/>
    <w:rsid w:val="07A95BC8"/>
    <w:rsid w:val="086250B1"/>
    <w:rsid w:val="089608E6"/>
    <w:rsid w:val="089869CE"/>
    <w:rsid w:val="08A47368"/>
    <w:rsid w:val="0B4E1C06"/>
    <w:rsid w:val="0BD114CA"/>
    <w:rsid w:val="0D0D3D91"/>
    <w:rsid w:val="0D7D6DE5"/>
    <w:rsid w:val="0DE62371"/>
    <w:rsid w:val="10783709"/>
    <w:rsid w:val="11E87628"/>
    <w:rsid w:val="1252010C"/>
    <w:rsid w:val="16194573"/>
    <w:rsid w:val="170C74B4"/>
    <w:rsid w:val="17795267"/>
    <w:rsid w:val="178B46A3"/>
    <w:rsid w:val="187C3831"/>
    <w:rsid w:val="1A9840A6"/>
    <w:rsid w:val="1B046DFF"/>
    <w:rsid w:val="1B713954"/>
    <w:rsid w:val="1BFE79BB"/>
    <w:rsid w:val="1EE248DA"/>
    <w:rsid w:val="21F22589"/>
    <w:rsid w:val="24192CCC"/>
    <w:rsid w:val="24814637"/>
    <w:rsid w:val="25C130CE"/>
    <w:rsid w:val="29CE62EB"/>
    <w:rsid w:val="2B361241"/>
    <w:rsid w:val="2C6914DC"/>
    <w:rsid w:val="2C92240E"/>
    <w:rsid w:val="2DDF63AC"/>
    <w:rsid w:val="2FD7200A"/>
    <w:rsid w:val="30FE36C3"/>
    <w:rsid w:val="31FF773C"/>
    <w:rsid w:val="32123C6B"/>
    <w:rsid w:val="345C049C"/>
    <w:rsid w:val="35F72569"/>
    <w:rsid w:val="362F5082"/>
    <w:rsid w:val="371F055D"/>
    <w:rsid w:val="382B331A"/>
    <w:rsid w:val="3A534851"/>
    <w:rsid w:val="3B337BD4"/>
    <w:rsid w:val="3CD52CE1"/>
    <w:rsid w:val="3D3C55B6"/>
    <w:rsid w:val="3D9A5296"/>
    <w:rsid w:val="3E5E20F3"/>
    <w:rsid w:val="3F5B6635"/>
    <w:rsid w:val="3F8B3A43"/>
    <w:rsid w:val="40D01E10"/>
    <w:rsid w:val="414304D1"/>
    <w:rsid w:val="41736F2E"/>
    <w:rsid w:val="43507118"/>
    <w:rsid w:val="448B43BF"/>
    <w:rsid w:val="44931590"/>
    <w:rsid w:val="46CB37C2"/>
    <w:rsid w:val="46F91016"/>
    <w:rsid w:val="486F6EBF"/>
    <w:rsid w:val="498A7BF5"/>
    <w:rsid w:val="49B330E9"/>
    <w:rsid w:val="4B6C635A"/>
    <w:rsid w:val="4C653F3E"/>
    <w:rsid w:val="50077AF7"/>
    <w:rsid w:val="50D44C0B"/>
    <w:rsid w:val="50ED12F1"/>
    <w:rsid w:val="54875D3D"/>
    <w:rsid w:val="551931DC"/>
    <w:rsid w:val="59CC3E18"/>
    <w:rsid w:val="5A232A93"/>
    <w:rsid w:val="5D0D22D3"/>
    <w:rsid w:val="5DEF1AF2"/>
    <w:rsid w:val="5E7B5F76"/>
    <w:rsid w:val="5F642B07"/>
    <w:rsid w:val="60E13E90"/>
    <w:rsid w:val="62DE772B"/>
    <w:rsid w:val="64784C6A"/>
    <w:rsid w:val="64B24B2C"/>
    <w:rsid w:val="66BA4938"/>
    <w:rsid w:val="675536F8"/>
    <w:rsid w:val="6EC86481"/>
    <w:rsid w:val="6F5042C2"/>
    <w:rsid w:val="6FB67ADA"/>
    <w:rsid w:val="70A81D4A"/>
    <w:rsid w:val="71200A6D"/>
    <w:rsid w:val="74665C08"/>
    <w:rsid w:val="750B4BF8"/>
    <w:rsid w:val="757440C0"/>
    <w:rsid w:val="773E764D"/>
    <w:rsid w:val="791965B6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TotalTime>2</TotalTime>
  <ScaleCrop>false</ScaleCrop>
  <LinksUpToDate>false</LinksUpToDate>
  <CharactersWithSpaces>1587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meimei</cp:lastModifiedBy>
  <dcterms:modified xsi:type="dcterms:W3CDTF">2020-03-08T01:03:47Z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