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9"/>
        <w:ind w:left="11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7"/>
          <w:spacing w:val="18"/>
          <w:w w:val="115"/>
        </w:rPr>
        <w:t>SJQU-QR-JW-033（</w:t>
      </w:r>
      <w:r>
        <w:rPr>
          <w:rFonts w:hint="eastAsia" w:ascii="宋体" w:hAnsi="宋体" w:eastAsia="宋体" w:cs="宋体"/>
          <w:color w:val="000007"/>
          <w:spacing w:val="-33"/>
          <w:w w:val="115"/>
        </w:rPr>
        <w:t xml:space="preserve"> </w:t>
      </w:r>
      <w:r>
        <w:rPr>
          <w:rFonts w:hint="eastAsia" w:ascii="宋体" w:hAnsi="宋体" w:eastAsia="宋体" w:cs="宋体"/>
          <w:color w:val="000007"/>
          <w:spacing w:val="13"/>
          <w:w w:val="115"/>
        </w:rPr>
        <w:t>A0）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5"/>
        </w:rPr>
      </w:pPr>
    </w:p>
    <w:p>
      <w:pPr>
        <w:pStyle w:val="4"/>
      </w:pPr>
      <w:r>
        <w:rPr>
          <w:color w:val="000007"/>
        </w:rPr>
        <w:t>专业课课程教学大纲</w:t>
      </w:r>
    </w:p>
    <w:p>
      <w:pPr>
        <w:pStyle w:val="2"/>
        <w:spacing w:before="57"/>
        <w:ind w:left="1319" w:right="1254"/>
        <w:rPr>
          <w:rFonts w:hint="eastAsia" w:ascii="微软雅黑" w:eastAsia="微软雅黑"/>
        </w:rPr>
      </w:pPr>
      <w:r>
        <w:rPr>
          <w:rFonts w:hint="eastAsia" w:ascii="微软雅黑" w:eastAsia="微软雅黑"/>
          <w:color w:val="000007"/>
        </w:rPr>
        <w:t>【</w:t>
      </w:r>
      <w:r>
        <w:rPr>
          <w:rFonts w:hint="eastAsia" w:ascii="微软雅黑" w:eastAsia="微软雅黑"/>
          <w:color w:val="000007"/>
          <w:lang w:val="en-US" w:eastAsia="zh-Hans"/>
        </w:rPr>
        <w:t>表演基础</w:t>
      </w:r>
      <w:r>
        <w:rPr>
          <w:rFonts w:hint="eastAsia" w:ascii="微软雅黑" w:eastAsia="微软雅黑"/>
          <w:color w:val="000007"/>
        </w:rPr>
        <w:t>】</w:t>
      </w:r>
    </w:p>
    <w:p>
      <w:pPr>
        <w:pStyle w:val="3"/>
        <w:spacing w:before="15"/>
        <w:rPr>
          <w:rFonts w:ascii="微软雅黑"/>
          <w:b/>
          <w:sz w:val="5"/>
        </w:rPr>
      </w:pPr>
    </w:p>
    <w:p>
      <w:pPr>
        <w:pStyle w:val="3"/>
        <w:spacing w:before="59"/>
        <w:ind w:left="1300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33020</wp:posOffset>
                </wp:positionV>
                <wp:extent cx="7135495" cy="353695"/>
                <wp:effectExtent l="0" t="0" r="12065" b="1206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95" cy="3536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195" w:right="1173" w:firstLine="0"/>
                              <w:jc w:val="center"/>
                              <w:rPr>
                                <w:rFonts w:hint="eastAsia" w:ascii="微软雅黑" w:eastAsia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b/>
                                <w:color w:val="000007"/>
                                <w:sz w:val="28"/>
                              </w:rPr>
                              <w:t>【Classical stage art appreciation (M</w:t>
                            </w:r>
                            <w:r>
                              <w:rPr>
                                <w:rFonts w:ascii="Arial" w:eastAsia="Arial"/>
                                <w:b/>
                                <w:color w:val="000007"/>
                                <w:sz w:val="28"/>
                                <w:lang w:val="en-US" w:eastAsia="zh-CN"/>
                              </w:rPr>
                              <w:t xml:space="preserve">odern </w:t>
                            </w:r>
                            <w:r>
                              <w:rPr>
                                <w:rFonts w:ascii="Arial" w:eastAsia="Arial"/>
                                <w:b/>
                                <w:color w:val="000007"/>
                                <w:sz w:val="28"/>
                                <w:lang w:eastAsia="zh-CN"/>
                              </w:rPr>
                              <w:t>D</w:t>
                            </w:r>
                            <w:r>
                              <w:rPr>
                                <w:rFonts w:ascii="Arial" w:eastAsia="Arial"/>
                                <w:b/>
                                <w:color w:val="000007"/>
                                <w:sz w:val="28"/>
                                <w:lang w:val="en-US" w:eastAsia="zh-CN"/>
                              </w:rPr>
                              <w:t>rama</w:t>
                            </w:r>
                            <w:r>
                              <w:rPr>
                                <w:rFonts w:ascii="Arial" w:eastAsia="Arial"/>
                                <w:b/>
                                <w:color w:val="000007"/>
                                <w:sz w:val="28"/>
                              </w:rPr>
                              <w:t>)】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.65pt;margin-top:2.6pt;height:27.85pt;width:561.85pt;mso-position-horizontal-relative:page;mso-wrap-distance-bottom:0pt;mso-wrap-distance-top:0pt;z-index:-251657216;mso-width-relative:page;mso-height-relative:page;" fillcolor="#F5F5F5" filled="t" stroked="f" coordsize="21600,21600" o:gfxdata="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1QrPU1gAAAAgBAAAPAAAAAAAAAAEAIAAAADgAAABkcnMvZG93&#10;bnJldi54bWxQSwECFAAUAAAACACHTuJALq0uh7MBAABNAwAADgAAAAAAAAABACAAAAA7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8"/>
                        <w:ind w:left="1195" w:right="1173" w:firstLine="0"/>
                        <w:jc w:val="center"/>
                        <w:rPr>
                          <w:rFonts w:hint="eastAsia" w:ascii="微软雅黑" w:eastAsia="微软雅黑"/>
                          <w:b/>
                          <w:sz w:val="28"/>
                        </w:rPr>
                      </w:pPr>
                      <w:r>
                        <w:rPr>
                          <w:rFonts w:ascii="Arial" w:eastAsia="Arial"/>
                          <w:b/>
                          <w:color w:val="000007"/>
                          <w:sz w:val="28"/>
                        </w:rPr>
                        <w:t>【Classical stage art appreciation (M</w:t>
                      </w:r>
                      <w:r>
                        <w:rPr>
                          <w:rFonts w:ascii="Arial" w:eastAsia="Arial"/>
                          <w:b/>
                          <w:color w:val="000007"/>
                          <w:sz w:val="28"/>
                          <w:lang w:val="en-US" w:eastAsia="zh-CN"/>
                        </w:rPr>
                        <w:t xml:space="preserve">odern </w:t>
                      </w:r>
                      <w:r>
                        <w:rPr>
                          <w:rFonts w:ascii="Arial" w:eastAsia="Arial"/>
                          <w:b/>
                          <w:color w:val="000007"/>
                          <w:sz w:val="28"/>
                          <w:lang w:eastAsia="zh-CN"/>
                        </w:rPr>
                        <w:t>D</w:t>
                      </w:r>
                      <w:r>
                        <w:rPr>
                          <w:rFonts w:ascii="Arial" w:eastAsia="Arial"/>
                          <w:b/>
                          <w:color w:val="000007"/>
                          <w:sz w:val="28"/>
                          <w:lang w:val="en-US" w:eastAsia="zh-CN"/>
                        </w:rPr>
                        <w:t>rama</w:t>
                      </w:r>
                      <w:r>
                        <w:rPr>
                          <w:rFonts w:ascii="Arial" w:eastAsia="Arial"/>
                          <w:b/>
                          <w:color w:val="000007"/>
                          <w:sz w:val="28"/>
                        </w:rPr>
                        <w:t>)】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7"/>
        </w:rPr>
        <w:t>一、基本信息（必填项）</w:t>
      </w:r>
    </w:p>
    <w:p>
      <w:pPr>
        <w:spacing w:before="110" w:line="261" w:lineRule="auto"/>
        <w:ind w:left="1331" w:right="6658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微软雅黑" w:eastAsia="微软雅黑"/>
          <w:b/>
          <w:sz w:val="20"/>
        </w:rPr>
        <w:t>课程代</w:t>
      </w:r>
      <w:r>
        <w:rPr>
          <w:rFonts w:hint="eastAsia" w:ascii="微软雅黑" w:eastAsia="微软雅黑"/>
          <w:b/>
          <w:sz w:val="20"/>
          <w:lang w:val="en-US" w:eastAsia="zh-Hans"/>
        </w:rPr>
        <w:t>码</w:t>
      </w:r>
      <w:r>
        <w:rPr>
          <w:rFonts w:hint="default" w:ascii="微软雅黑" w:eastAsia="微软雅黑"/>
          <w:b/>
          <w:sz w:val="20"/>
          <w:lang w:eastAsia="zh-Hans"/>
        </w:rPr>
        <w:t>：</w:t>
      </w:r>
      <w:r>
        <w:rPr>
          <w:sz w:val="20"/>
        </w:rPr>
        <w:t>【</w:t>
      </w:r>
      <w:r>
        <w:rPr>
          <w:rFonts w:ascii="微软雅黑" w:hAnsi="微软雅黑" w:eastAsia="微软雅黑"/>
          <w:color w:val="000000"/>
        </w:rPr>
        <w:t>2030657</w:t>
      </w:r>
      <w:r>
        <w:rPr>
          <w:rFonts w:hint="eastAsia" w:ascii="宋体" w:hAnsi="宋体" w:eastAsia="宋体" w:cs="宋体"/>
          <w:sz w:val="20"/>
        </w:rPr>
        <w:t>】</w:t>
      </w:r>
    </w:p>
    <w:p>
      <w:pPr>
        <w:spacing w:before="110" w:line="261" w:lineRule="auto"/>
        <w:ind w:left="1331" w:right="6658" w:firstLine="0"/>
        <w:jc w:val="left"/>
        <w:rPr>
          <w:sz w:val="20"/>
        </w:rPr>
      </w:pPr>
      <w:r>
        <w:rPr>
          <w:rFonts w:hint="eastAsia" w:ascii="微软雅黑" w:eastAsia="微软雅黑"/>
          <w:b/>
          <w:w w:val="105"/>
          <w:sz w:val="20"/>
        </w:rPr>
        <w:t>课程学分：</w:t>
      </w:r>
      <w:r>
        <w:rPr>
          <w:w w:val="105"/>
          <w:sz w:val="20"/>
        </w:rPr>
        <w:t>【</w:t>
      </w:r>
      <w:r>
        <w:rPr>
          <w:rFonts w:ascii="Arial" w:eastAsia="Arial"/>
          <w:w w:val="105"/>
          <w:sz w:val="20"/>
        </w:rPr>
        <w:t>2</w:t>
      </w:r>
      <w:r>
        <w:rPr>
          <w:w w:val="105"/>
          <w:sz w:val="20"/>
        </w:rPr>
        <w:t>】</w:t>
      </w:r>
    </w:p>
    <w:p>
      <w:pPr>
        <w:spacing w:before="0" w:line="256" w:lineRule="auto"/>
        <w:ind w:left="1331" w:right="6592" w:firstLine="0"/>
        <w:jc w:val="left"/>
        <w:rPr>
          <w:rFonts w:hint="eastAsia" w:ascii="微软雅黑" w:eastAsia="微软雅黑"/>
          <w:b/>
          <w:sz w:val="20"/>
        </w:rPr>
      </w:pPr>
      <w:r>
        <w:rPr>
          <w:rFonts w:hint="eastAsia" w:ascii="微软雅黑" w:eastAsia="微软雅黑"/>
          <w:b/>
          <w:sz w:val="20"/>
        </w:rPr>
        <w:t>面向专业：</w:t>
      </w:r>
      <w:r>
        <w:rPr>
          <w:sz w:val="20"/>
        </w:rPr>
        <w:t>【</w:t>
      </w:r>
      <w:r>
        <w:rPr>
          <w:color w:val="000007"/>
          <w:sz w:val="21"/>
        </w:rPr>
        <w:t>传播学</w:t>
      </w:r>
      <w:r>
        <w:rPr>
          <w:sz w:val="20"/>
        </w:rPr>
        <w:t>】</w:t>
      </w:r>
      <w:r>
        <w:rPr>
          <w:rFonts w:hint="eastAsia" w:ascii="微软雅黑" w:eastAsia="微软雅黑"/>
          <w:b/>
          <w:sz w:val="20"/>
        </w:rPr>
        <w:t>课程性质：</w:t>
      </w:r>
      <w:r>
        <w:rPr>
          <w:sz w:val="20"/>
        </w:rPr>
        <w:t xml:space="preserve">【选修课】 </w:t>
      </w:r>
      <w:r>
        <w:rPr>
          <w:rFonts w:hint="eastAsia" w:ascii="微软雅黑" w:eastAsia="微软雅黑"/>
          <w:b/>
          <w:spacing w:val="-2"/>
          <w:sz w:val="20"/>
        </w:rPr>
        <w:t>开课院系：新闻传播学院</w:t>
      </w:r>
      <w:r>
        <w:rPr>
          <w:rFonts w:hint="eastAsia" w:ascii="微软雅黑" w:eastAsia="微软雅黑"/>
          <w:b/>
          <w:sz w:val="20"/>
        </w:rPr>
        <w:t>使用教材：</w:t>
      </w:r>
    </w:p>
    <w:p>
      <w:pPr>
        <w:spacing w:before="52" w:line="336" w:lineRule="auto"/>
        <w:ind w:left="1758" w:right="1492" w:hanging="27"/>
        <w:jc w:val="left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t>教材【《中国百年话剧史稿》（现代卷），黄会林 著，北京师范大学出版社】参考书目【《</w:t>
      </w:r>
      <w:r>
        <w:rPr>
          <w:rFonts w:hint="eastAsia" w:asciiTheme="minorEastAsia" w:hAnsiTheme="minorEastAsia" w:eastAsiaTheme="minorEastAsia" w:cstheme="minorEastAsia"/>
          <w:sz w:val="20"/>
          <w:lang w:val="en-US" w:eastAsia="zh-Hans"/>
        </w:rPr>
        <w:t>尊重表演艺术</w:t>
      </w:r>
      <w:r>
        <w:rPr>
          <w:rFonts w:hint="eastAsia" w:asciiTheme="minorEastAsia" w:hAnsiTheme="minorEastAsia" w:eastAsiaTheme="minorEastAsia" w:cstheme="minorEastAsia"/>
          <w:sz w:val="20"/>
        </w:rPr>
        <w:t>》，U</w:t>
      </w:r>
      <w:r>
        <w:rPr>
          <w:rFonts w:hint="eastAsia" w:asciiTheme="minorEastAsia" w:hAnsiTheme="minorEastAsia" w:eastAsiaTheme="minorEastAsia" w:cstheme="minorEastAsia"/>
          <w:sz w:val="20"/>
          <w:lang w:val="en-US" w:eastAsia="zh-Hans"/>
        </w:rPr>
        <w:t>ta</w:t>
      </w:r>
      <w:r>
        <w:rPr>
          <w:rFonts w:hint="eastAsia" w:asciiTheme="minorEastAsia" w:hAnsiTheme="minorEastAsia" w:eastAsiaTheme="minorEastAsia" w:cstheme="minorEastAsia"/>
          <w:sz w:val="20"/>
          <w:lang w:eastAsia="zh-Hans"/>
        </w:rPr>
        <w:t xml:space="preserve"> H</w:t>
      </w:r>
      <w:r>
        <w:rPr>
          <w:rFonts w:hint="eastAsia" w:asciiTheme="minorEastAsia" w:hAnsiTheme="minorEastAsia" w:eastAsiaTheme="minorEastAsia" w:cstheme="minorEastAsia"/>
          <w:sz w:val="20"/>
          <w:lang w:val="en-US" w:eastAsia="zh-Hans"/>
        </w:rPr>
        <w:t>agan</w:t>
      </w:r>
      <w:r>
        <w:rPr>
          <w:rFonts w:hint="eastAsia" w:asciiTheme="minorEastAsia" w:hAnsiTheme="minorEastAsia" w:eastAsiaTheme="minorEastAsia" w:cstheme="minorEastAsia"/>
          <w:sz w:val="20"/>
        </w:rPr>
        <w:t xml:space="preserve"> 著，</w:t>
      </w:r>
      <w:r>
        <w:rPr>
          <w:rFonts w:hint="eastAsia" w:asciiTheme="minorEastAsia" w:hAnsiTheme="minorEastAsia" w:eastAsiaTheme="minorEastAsia" w:cstheme="minorEastAsia"/>
          <w:sz w:val="20"/>
          <w:lang w:val="en-US" w:eastAsia="zh-Hans"/>
        </w:rPr>
        <w:t>胡因梦译</w:t>
      </w:r>
      <w:r>
        <w:rPr>
          <w:rFonts w:hint="eastAsia" w:asciiTheme="minorEastAsia" w:hAnsiTheme="minorEastAsia" w:eastAsiaTheme="minorEastAsia" w:cstheme="minorEastAsia"/>
          <w:sz w:val="2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0"/>
          <w:lang w:val="en-US" w:eastAsia="zh-Hans"/>
        </w:rPr>
        <w:t>北京联合</w:t>
      </w:r>
      <w:r>
        <w:rPr>
          <w:rFonts w:hint="eastAsia" w:asciiTheme="minorEastAsia" w:hAnsiTheme="minorEastAsia" w:eastAsiaTheme="minorEastAsia" w:cstheme="minorEastAsia"/>
          <w:sz w:val="20"/>
        </w:rPr>
        <w:t>出版】</w:t>
      </w:r>
    </w:p>
    <w:p>
      <w:pPr>
        <w:spacing w:before="0" w:line="277" w:lineRule="exact"/>
        <w:ind w:left="1758" w:right="0" w:firstLine="0"/>
        <w:jc w:val="left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t>【《窥看舞台》，妹尾河童 著，广西师范大学出版社】</w:t>
      </w:r>
    </w:p>
    <w:p>
      <w:pPr>
        <w:spacing w:before="114"/>
        <w:ind w:left="1758" w:right="0" w:firstLine="0"/>
        <w:jc w:val="left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t>【《The Dramatic Imagination》, 罗伯特·埃德蒙·琼斯（Robert Edmond Jones）著】</w:t>
      </w:r>
    </w:p>
    <w:p>
      <w:pPr>
        <w:spacing w:before="109"/>
        <w:ind w:left="1758" w:right="0" w:firstLine="0"/>
        <w:jc w:val="left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t>【《20 世纪中国话剧精品赏析》，卢敏 著，文化艺术出版社】</w:t>
      </w:r>
    </w:p>
    <w:p>
      <w:pPr>
        <w:pStyle w:val="3"/>
        <w:spacing w:before="11"/>
        <w:rPr>
          <w:sz w:val="28"/>
        </w:rPr>
      </w:pPr>
    </w:p>
    <w:p>
      <w:pPr>
        <w:spacing w:before="0" w:line="254" w:lineRule="auto"/>
        <w:ind w:left="1331" w:right="7192" w:firstLine="0"/>
        <w:jc w:val="left"/>
        <w:rPr>
          <w:sz w:val="20"/>
        </w:rPr>
      </w:pPr>
      <w:r>
        <w:rPr>
          <w:rFonts w:hint="eastAsia" w:ascii="微软雅黑" w:eastAsia="微软雅黑"/>
          <w:b/>
          <w:sz w:val="20"/>
        </w:rPr>
        <w:t>课程网站网址：无先修课程：</w:t>
      </w:r>
      <w:r>
        <w:rPr>
          <w:sz w:val="20"/>
        </w:rPr>
        <w:t>无</w:t>
      </w:r>
    </w:p>
    <w:p>
      <w:pPr>
        <w:pStyle w:val="3"/>
        <w:spacing w:before="3"/>
        <w:rPr>
          <w:sz w:val="21"/>
        </w:rPr>
      </w:pPr>
    </w:p>
    <w:p>
      <w:pPr>
        <w:pStyle w:val="3"/>
        <w:ind w:left="1288"/>
      </w:pPr>
      <w:r>
        <w:rPr>
          <w:color w:val="000007"/>
        </w:rPr>
        <w:t>二、课程简介（必填项）</w:t>
      </w:r>
    </w:p>
    <w:p>
      <w:pPr>
        <w:spacing w:before="194"/>
        <w:ind w:left="1340" w:right="0" w:firstLine="0"/>
        <w:jc w:val="left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t>此处概述课程的研究对象及课程在专业中的作用与地位，使学生对该课程有一个总体了解。</w:t>
      </w:r>
    </w:p>
    <w:p>
      <w:pPr>
        <w:spacing w:before="35"/>
        <w:ind w:left="940" w:right="0" w:firstLine="0"/>
        <w:jc w:val="left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z w:val="20"/>
        </w:rPr>
        <w:t>（300-400 字）</w:t>
      </w:r>
    </w:p>
    <w:p>
      <w:pPr>
        <w:pStyle w:val="3"/>
        <w:spacing w:before="110" w:line="333" w:lineRule="auto"/>
        <w:ind w:left="940" w:right="785" w:firstLine="48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表演教学就是要求通过系统、科学的训练方法，使学生建立正确的舞台自我感觉，就是 要求像生活中对待一切事物的态度一样，去对待一切舞台虛构。因为，舞台上所有的一切都是 虛构的、假使的，但训练有素的演员就能快速的，以假乱真，获得像人在生活中那样的一种自我感觉。真正地相信所有的假定，从而身临其境。</w:t>
      </w:r>
    </w:p>
    <w:p>
      <w:pPr>
        <w:pStyle w:val="3"/>
        <w:spacing w:before="110" w:line="333" w:lineRule="auto"/>
        <w:ind w:left="940" w:right="785" w:firstLine="480"/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在表演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Hans"/>
        </w:rPr>
        <w:t>课堂中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中，主要是考察学生对表演的理解力、想象力和表现力的重要手段。在平时的练习中，应该更加努力培养学生自己的理解能力，练习中表演和自己生活所见所闻相结合，不仅可以让学生充分理解表演，而且让他们的表演更切实际，贴近生活。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Hans"/>
        </w:rPr>
        <w:t>同时今年的课程加入关于禁毒的微话剧演出</w:t>
      </w:r>
      <w:r>
        <w:rPr>
          <w:rFonts w:hint="default" w:asciiTheme="minorEastAsia" w:hAnsiTheme="minorEastAsia" w:eastAsiaTheme="minorEastAsia" w:cstheme="minorEastAsia"/>
          <w:sz w:val="22"/>
          <w:szCs w:val="22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让学生们完成一场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CN" w:bidi="ar"/>
        </w:rPr>
        <w:t xml:space="preserve">以禁毒为主题的戏剧晚会，由建桥学院新闻传播2021级师生主创演出，用最生动有趣的方式呈现禁毒宣讲进校园历程中的故事。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Hans" w:bidi="ar"/>
        </w:rPr>
        <w:t>其次还会开展禁毒知识竞赛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eastAsia="zh-Hans" w:bidi="ar"/>
        </w:rPr>
        <w:t>。</w:t>
      </w:r>
    </w:p>
    <w:p>
      <w:pPr>
        <w:pStyle w:val="3"/>
        <w:spacing w:before="110" w:line="333" w:lineRule="auto"/>
        <w:ind w:left="940" w:right="785" w:firstLine="480"/>
      </w:pPr>
      <w:r>
        <w:rPr>
          <w:rFonts w:hint="eastAsia" w:asciiTheme="minorEastAsia" w:hAnsiTheme="minorEastAsia" w:eastAsiaTheme="minorEastAsia" w:cstheme="minorEastAsia"/>
          <w:color w:val="000007"/>
        </w:rPr>
        <w:t>三、选课建议（必填项）</w:t>
      </w:r>
    </w:p>
    <w:p>
      <w:pPr>
        <w:spacing w:before="1"/>
        <w:ind w:right="0" w:firstLine="700" w:firstLineChars="350"/>
        <w:jc w:val="left"/>
        <w:rPr>
          <w:sz w:val="20"/>
        </w:rPr>
      </w:pPr>
      <w:r>
        <w:rPr>
          <w:sz w:val="20"/>
        </w:rPr>
        <w:t>此处给出该课程的选课建议，例如适合专业、年级、学习基础要求等建议。</w:t>
      </w:r>
    </w:p>
    <w:p>
      <w:pPr>
        <w:pStyle w:val="3"/>
        <w:spacing w:before="11" w:line="333" w:lineRule="auto"/>
        <w:ind w:left="940" w:right="877" w:firstLine="480"/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</w:pPr>
    </w:p>
    <w:p>
      <w:pPr>
        <w:pStyle w:val="3"/>
        <w:spacing w:before="11" w:line="333" w:lineRule="auto"/>
        <w:ind w:left="940" w:right="877" w:firstLine="480"/>
        <w:rPr>
          <w:rFonts w:hint="eastAsia" w:asciiTheme="minorEastAsia" w:hAnsiTheme="minorEastAsia" w:eastAsiaTheme="minorEastAsia" w:cstheme="minorEastAsia"/>
          <w:spacing w:val="-10"/>
        </w:rPr>
      </w:pP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通过一些无实物表演练习</w:t>
      </w:r>
      <w:r>
        <w:rPr>
          <w:rFonts w:hint="default" w:asciiTheme="minorEastAsia" w:hAnsiTheme="minorEastAsia" w:eastAsiaTheme="minorEastAsia" w:cstheme="minorEastAsia"/>
          <w:spacing w:val="-1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进行舞台训练和感觉训练</w:t>
      </w:r>
      <w:r>
        <w:rPr>
          <w:rFonts w:hint="default" w:asciiTheme="minorEastAsia" w:hAnsiTheme="minorEastAsia" w:eastAsiaTheme="minorEastAsia" w:cstheme="minorEastAsia"/>
          <w:spacing w:val="-1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对事物练习要求</w:t>
      </w:r>
      <w:r>
        <w:rPr>
          <w:rFonts w:hint="default" w:asciiTheme="minorEastAsia" w:hAnsiTheme="minorEastAsia" w:eastAsiaTheme="minorEastAsia" w:cstheme="minorEastAsia"/>
          <w:spacing w:val="-1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一方面训练技术</w:t>
      </w:r>
      <w:r>
        <w:rPr>
          <w:rFonts w:hint="default" w:asciiTheme="minorEastAsia" w:hAnsiTheme="minorEastAsia" w:eastAsiaTheme="minorEastAsia" w:cstheme="minorEastAsia"/>
          <w:spacing w:val="-1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另一方面要求在简单的情景中真实有机的运用</w:t>
      </w:r>
      <w:r>
        <w:rPr>
          <w:rFonts w:hint="default" w:asciiTheme="minorEastAsia" w:hAnsiTheme="minorEastAsia" w:eastAsiaTheme="minorEastAsia" w:cstheme="minorEastAsia"/>
          <w:spacing w:val="-1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让同学们</w:t>
      </w:r>
      <w:r>
        <w:rPr>
          <w:rFonts w:hint="eastAsia" w:asciiTheme="minorEastAsia" w:hAnsiTheme="minorEastAsia" w:eastAsiaTheme="minorEastAsia" w:cstheme="minorEastAsia"/>
          <w:spacing w:val="-10"/>
        </w:rPr>
        <w:t>感受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Hans"/>
        </w:rPr>
        <w:t>表演的</w:t>
      </w:r>
      <w:r>
        <w:rPr>
          <w:rFonts w:hint="eastAsia" w:asciiTheme="minorEastAsia" w:hAnsiTheme="minorEastAsia" w:eastAsiaTheme="minorEastAsia" w:cstheme="minorEastAsia"/>
          <w:spacing w:val="-10"/>
        </w:rPr>
        <w:t>的魅力，实现艺术育人的目标。表演能够提高大学生的创造能力。从一个纯文字的剧本到集声音、画面、视觉听觉兼备的生动舞台艺术作品呈现，这个过程中，需要大学生最大程度的调动自己的创造力和想象力，运用自己多方面的知识储备和文化积累，把想法变成实实在在的作品呈现在观众面前。</w:t>
      </w:r>
    </w:p>
    <w:p>
      <w:pPr>
        <w:pStyle w:val="3"/>
        <w:spacing w:before="9"/>
        <w:ind w:left="1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本课程适合为新闻传播专业高年级学生开设。</w:t>
      </w:r>
    </w:p>
    <w:p>
      <w:pPr>
        <w:pStyle w:val="3"/>
      </w:pPr>
    </w:p>
    <w:p>
      <w:pPr>
        <w:pStyle w:val="3"/>
        <w:spacing w:before="8"/>
        <w:rPr>
          <w:sz w:val="30"/>
        </w:rPr>
      </w:pPr>
    </w:p>
    <w:p>
      <w:pPr>
        <w:pStyle w:val="3"/>
        <w:ind w:left="1300"/>
      </w:pPr>
      <w:r>
        <w:rPr>
          <w:color w:val="000007"/>
        </w:rPr>
        <w:t>四、课程与专业毕业要求的关联性（必填项）</w:t>
      </w:r>
    </w:p>
    <w:p>
      <w:pPr>
        <w:pStyle w:val="3"/>
        <w:spacing w:before="7"/>
        <w:rPr>
          <w:sz w:val="29"/>
        </w:rPr>
      </w:pPr>
    </w:p>
    <w:tbl>
      <w:tblPr>
        <w:tblStyle w:val="6"/>
        <w:tblW w:w="0" w:type="auto"/>
        <w:tblInd w:w="1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3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6803" w:type="dxa"/>
          </w:tcPr>
          <w:p>
            <w:pPr>
              <w:pStyle w:val="10"/>
              <w:spacing w:before="21" w:line="270" w:lineRule="exact"/>
              <w:ind w:left="2780" w:right="2773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pStyle w:val="10"/>
              <w:spacing w:before="21" w:line="270" w:lineRule="exact"/>
              <w:ind w:left="142" w:right="134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关联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LO11：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自主学习</w:t>
            </w:r>
          </w:p>
        </w:tc>
        <w:tc>
          <w:tcPr>
            <w:tcW w:w="727" w:type="dxa"/>
          </w:tcPr>
          <w:p>
            <w:pPr>
              <w:pStyle w:val="10"/>
              <w:spacing w:before="39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LO21：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艺术鉴赏</w:t>
            </w:r>
          </w:p>
        </w:tc>
        <w:tc>
          <w:tcPr>
            <w:tcW w:w="727" w:type="dxa"/>
          </w:tcPr>
          <w:p>
            <w:pPr>
              <w:pStyle w:val="10"/>
              <w:spacing w:before="3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LO31：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气质仪态</w:t>
            </w:r>
          </w:p>
        </w:tc>
        <w:tc>
          <w:tcPr>
            <w:tcW w:w="7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LO32：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肢体语言表达</w:t>
            </w:r>
          </w:p>
        </w:tc>
        <w:tc>
          <w:tcPr>
            <w:tcW w:w="7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LO33：</w:t>
            </w:r>
            <w:r>
              <w:rPr>
                <w:rFonts w:hint="eastAsia" w:ascii="宋体" w:hAnsi="宋体" w:eastAsia="宋体" w:cs="宋体"/>
                <w:color w:val="000006"/>
                <w:sz w:val="20"/>
                <w:lang w:val="en-US" w:eastAsia="zh-CN"/>
              </w:rPr>
              <w:t>媒介应用</w:t>
            </w:r>
          </w:p>
        </w:tc>
        <w:tc>
          <w:tcPr>
            <w:tcW w:w="727" w:type="dxa"/>
          </w:tcPr>
          <w:p>
            <w:pPr>
              <w:pStyle w:val="10"/>
              <w:spacing w:before="39"/>
              <w:ind w:left="8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LO34：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艺术理论研究</w:t>
            </w:r>
          </w:p>
        </w:tc>
        <w:tc>
          <w:tcPr>
            <w:tcW w:w="727" w:type="dxa"/>
          </w:tcPr>
          <w:p>
            <w:pPr>
              <w:pStyle w:val="10"/>
              <w:spacing w:before="39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803" w:type="dxa"/>
          </w:tcPr>
          <w:p>
            <w:pPr>
              <w:pStyle w:val="10"/>
              <w:spacing w:line="292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LO35：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即兴创作</w:t>
            </w:r>
          </w:p>
        </w:tc>
        <w:tc>
          <w:tcPr>
            <w:tcW w:w="7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6803" w:type="dxa"/>
          </w:tcPr>
          <w:p>
            <w:pPr>
              <w:pStyle w:val="10"/>
              <w:spacing w:line="290" w:lineRule="exact"/>
              <w:ind w:left="10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LO36：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实物模仿</w:t>
            </w:r>
          </w:p>
        </w:tc>
        <w:tc>
          <w:tcPr>
            <w:tcW w:w="7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6803" w:type="dxa"/>
            <w:vAlign w:val="top"/>
          </w:tcPr>
          <w:p>
            <w:pPr>
              <w:pStyle w:val="10"/>
              <w:spacing w:line="292" w:lineRule="exact"/>
              <w:ind w:left="107" w:leftChars="0" w:right="0" w:rightChars="0"/>
              <w:rPr>
                <w:rFonts w:hint="eastAsia" w:ascii="宋体" w:hAnsi="宋体" w:eastAsia="宋体" w:cs="宋体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LO41：</w:t>
            </w:r>
            <w:r>
              <w:rPr>
                <w:rFonts w:hint="eastAsia" w:ascii="宋体" w:hAnsi="宋体" w:eastAsia="宋体" w:cs="宋体"/>
                <w:color w:val="000006"/>
                <w:sz w:val="20"/>
              </w:rPr>
              <w:t>艺术素养</w:t>
            </w:r>
          </w:p>
        </w:tc>
        <w:tc>
          <w:tcPr>
            <w:tcW w:w="727" w:type="dxa"/>
            <w:vAlign w:val="top"/>
          </w:tcPr>
          <w:p>
            <w:pPr>
              <w:pStyle w:val="10"/>
              <w:spacing w:before="39"/>
              <w:ind w:left="8" w:leftChars="0" w:right="0" w:rightChars="0"/>
              <w:jc w:val="center"/>
              <w:rPr>
                <w:rFonts w:ascii="Wingdings" w:hAnsi="Wingdings" w:eastAsia="PMingLiU" w:cs="PMingLiU"/>
                <w:sz w:val="20"/>
                <w:szCs w:val="22"/>
                <w:lang w:val="en-US" w:eastAsia="en-US" w:bidi="ar-SA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6803" w:type="dxa"/>
            <w:vAlign w:val="center"/>
          </w:tcPr>
          <w:p>
            <w:pPr>
              <w:pStyle w:val="10"/>
              <w:spacing w:line="292" w:lineRule="exact"/>
              <w:ind w:left="107" w:leftChars="0" w:right="0" w:rightChars="0"/>
              <w:jc w:val="both"/>
              <w:rPr>
                <w:rFonts w:ascii="PMingLiU" w:hAnsi="PMingLiU" w:eastAsia="PMingLiU" w:cs="PMingLiU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LO51：</w:t>
            </w:r>
            <w:r>
              <w:rPr>
                <w:rFonts w:hint="eastAsia" w:ascii="宋体" w:eastAsia="宋体"/>
                <w:color w:val="000006"/>
                <w:sz w:val="20"/>
                <w:lang w:val="en-US" w:eastAsia="zh-CN"/>
              </w:rPr>
              <w:t>社会责任感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val="en-US" w:eastAsia="en-US" w:bidi="ar-SA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6803" w:type="dxa"/>
            <w:vAlign w:val="center"/>
          </w:tcPr>
          <w:p>
            <w:pPr>
              <w:pStyle w:val="10"/>
              <w:spacing w:line="292" w:lineRule="exact"/>
              <w:ind w:left="107" w:leftChars="0" w:right="0" w:rightChars="0"/>
              <w:jc w:val="both"/>
              <w:rPr>
                <w:rFonts w:ascii="PMingLiU" w:hAnsi="PMingLiU" w:eastAsia="PMingLiU" w:cs="PMingLiU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LO61：</w:t>
            </w:r>
            <w:r>
              <w:rPr>
                <w:rFonts w:hint="eastAsia" w:ascii="宋体" w:eastAsia="宋体"/>
                <w:color w:val="000006"/>
                <w:sz w:val="20"/>
                <w:lang w:val="en-US" w:eastAsia="zh-CN"/>
              </w:rPr>
              <w:t>语言表达能力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val="en-US" w:eastAsia="en-US" w:bidi="ar-SA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spacing w:before="89"/>
        <w:ind w:right="0" w:firstLine="1365" w:firstLineChars="650"/>
        <w:jc w:val="left"/>
        <w:rPr>
          <w:sz w:val="21"/>
        </w:rPr>
      </w:pPr>
      <w:r>
        <w:rPr>
          <w:color w:val="000007"/>
          <w:sz w:val="21"/>
        </w:rPr>
        <w:t>备注：</w:t>
      </w:r>
      <w:r>
        <w:rPr>
          <w:rFonts w:ascii="Arial" w:eastAsia="Arial"/>
          <w:color w:val="000007"/>
          <w:sz w:val="21"/>
        </w:rPr>
        <w:t>LO=learning outcomes</w:t>
      </w:r>
      <w:r>
        <w:rPr>
          <w:color w:val="000007"/>
          <w:sz w:val="21"/>
        </w:rPr>
        <w:t>（学习成果）</w:t>
      </w:r>
    </w:p>
    <w:p>
      <w:pPr>
        <w:pStyle w:val="3"/>
        <w:spacing w:before="8"/>
        <w:rPr>
          <w:sz w:val="35"/>
        </w:rPr>
      </w:pPr>
    </w:p>
    <w:p>
      <w:pPr>
        <w:pStyle w:val="3"/>
        <w:spacing w:line="268" w:lineRule="auto"/>
        <w:ind w:right="977"/>
        <w:rPr>
          <w:color w:val="000007"/>
        </w:rPr>
      </w:pPr>
    </w:p>
    <w:p>
      <w:pPr>
        <w:pStyle w:val="3"/>
        <w:spacing w:line="268" w:lineRule="auto"/>
        <w:ind w:left="940" w:right="977" w:firstLine="360"/>
      </w:pPr>
      <w:r>
        <w:rPr>
          <w:color w:val="000007"/>
        </w:rPr>
        <w:t>五、课程目标/课程预期学习成果（必填项）（预期学习成果要可测量/能够</w:t>
      </w:r>
      <w:r>
        <w:rPr>
          <w:color w:val="000007"/>
          <w:w w:val="105"/>
        </w:rPr>
        <w:t>证明）</w:t>
      </w:r>
    </w:p>
    <w:p>
      <w:pPr>
        <w:pStyle w:val="3"/>
        <w:spacing w:before="3"/>
        <w:rPr>
          <w:sz w:val="16"/>
        </w:rPr>
      </w:pPr>
    </w:p>
    <w:p>
      <w:pPr>
        <w:spacing w:before="0" w:after="57" w:line="400" w:lineRule="auto"/>
        <w:ind w:left="940" w:right="778" w:firstLine="499"/>
        <w:jc w:val="left"/>
        <w:rPr>
          <w:sz w:val="20"/>
        </w:rPr>
      </w:pPr>
      <w:r>
        <w:rPr>
          <w:rFonts w:hint="eastAsia" w:asciiTheme="minorEastAsia" w:hAnsiTheme="minorEastAsia" w:eastAsiaTheme="minorEastAsia" w:cstheme="minorEastAsia"/>
          <w:color w:val="000007"/>
          <w:sz w:val="20"/>
        </w:rPr>
        <w:t>专业能力写到毕业要求层级（二级编码），通用能力写到指标点层级（三级编码），如果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w w:val="99"/>
          <w:sz w:val="20"/>
        </w:rPr>
        <w:t>是应用型本科试点专业全部写到指标点层级（</w:t>
      </w:r>
      <w:r>
        <w:rPr>
          <w:rFonts w:hint="eastAsia" w:asciiTheme="minorEastAsia" w:hAnsiTheme="minorEastAsia" w:eastAsiaTheme="minorEastAsia" w:cstheme="minorEastAsia"/>
          <w:color w:val="000007"/>
          <w:w w:val="99"/>
          <w:sz w:val="20"/>
        </w:rPr>
        <w:t>三级编码</w:t>
      </w:r>
      <w:r>
        <w:rPr>
          <w:rFonts w:hint="eastAsia" w:asciiTheme="minorEastAsia" w:hAnsiTheme="minorEastAsia" w:eastAsiaTheme="minorEastAsia" w:cstheme="minorEastAsia"/>
          <w:color w:val="000007"/>
          <w:spacing w:val="-58"/>
          <w:w w:val="99"/>
          <w:sz w:val="20"/>
        </w:rPr>
        <w:t>）</w:t>
      </w:r>
      <w:r>
        <w:rPr>
          <w:rFonts w:hint="eastAsia" w:asciiTheme="minorEastAsia" w:hAnsiTheme="minorEastAsia" w:eastAsiaTheme="minorEastAsia" w:cstheme="minorEastAsia"/>
          <w:color w:val="000007"/>
          <w:spacing w:val="-25"/>
          <w:w w:val="99"/>
          <w:sz w:val="20"/>
        </w:rPr>
        <w:t>。在“课程目标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w w:val="99"/>
          <w:sz w:val="20"/>
        </w:rPr>
        <w:t>（</w:t>
      </w:r>
      <w:r>
        <w:rPr>
          <w:rFonts w:hint="eastAsia" w:asciiTheme="minorEastAsia" w:hAnsiTheme="minorEastAsia" w:eastAsiaTheme="minorEastAsia" w:cstheme="minorEastAsia"/>
          <w:color w:val="000007"/>
          <w:w w:val="99"/>
          <w:sz w:val="20"/>
        </w:rPr>
        <w:t>细化的预期学习成果</w:t>
      </w:r>
      <w:r>
        <w:rPr>
          <w:rFonts w:hint="eastAsia" w:asciiTheme="minorEastAsia" w:hAnsiTheme="minorEastAsia" w:eastAsiaTheme="minorEastAsia" w:cstheme="minorEastAsia"/>
          <w:color w:val="000007"/>
          <w:spacing w:val="-96"/>
          <w:w w:val="99"/>
          <w:sz w:val="20"/>
        </w:rPr>
        <w:t>）</w:t>
      </w:r>
      <w:r>
        <w:rPr>
          <w:rFonts w:hint="eastAsia" w:asciiTheme="minorEastAsia" w:hAnsiTheme="minorEastAsia" w:eastAsiaTheme="minorEastAsia" w:cstheme="minorEastAsia"/>
          <w:color w:val="000007"/>
          <w:w w:val="99"/>
          <w:sz w:val="20"/>
        </w:rPr>
        <w:t>”</w:t>
      </w:r>
      <w:r>
        <w:rPr>
          <w:rFonts w:hint="eastAsia" w:asciiTheme="minorEastAsia" w:hAnsiTheme="minorEastAsia" w:eastAsiaTheme="minorEastAsia" w:cstheme="minorEastAsia"/>
          <w:color w:val="000007"/>
          <w:spacing w:val="-4"/>
          <w:sz w:val="20"/>
        </w:rPr>
        <w:t>这列要写清楚指标点</w:t>
      </w:r>
      <w:r>
        <w:rPr>
          <w:rFonts w:hint="eastAsia" w:asciiTheme="minorEastAsia" w:hAnsiTheme="minorEastAsia" w:eastAsiaTheme="minorEastAsia" w:cstheme="minorEastAsia"/>
          <w:color w:val="000007"/>
          <w:sz w:val="20"/>
        </w:rPr>
        <w:t>（或者毕业要求</w:t>
      </w:r>
      <w:r>
        <w:rPr>
          <w:rFonts w:hint="eastAsia" w:asciiTheme="minorEastAsia" w:hAnsiTheme="minorEastAsia" w:eastAsiaTheme="minorEastAsia" w:cstheme="minorEastAsia"/>
          <w:color w:val="000007"/>
          <w:spacing w:val="-29"/>
          <w:sz w:val="20"/>
        </w:rPr>
        <w:t>）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sz w:val="20"/>
        </w:rPr>
        <w:t>在本门课程里面的具体表现，撰写时以适当的行为动词引导。</w:t>
      </w:r>
    </w:p>
    <w:p>
      <w:pPr>
        <w:pStyle w:val="3"/>
        <w:spacing w:before="7"/>
        <w:rPr>
          <w:sz w:val="26"/>
        </w:rPr>
      </w:pPr>
    </w:p>
    <w:p>
      <w:pPr>
        <w:pStyle w:val="3"/>
        <w:ind w:left="1300"/>
      </w:pPr>
      <w:r>
        <w:rPr>
          <w:color w:val="000007"/>
        </w:rPr>
        <w:t>六、课程内容（必填项）</w:t>
      </w:r>
    </w:p>
    <w:p>
      <w:pPr>
        <w:pStyle w:val="3"/>
        <w:spacing w:before="3"/>
        <w:rPr>
          <w:sz w:val="7"/>
        </w:rPr>
      </w:pPr>
    </w:p>
    <w:p>
      <w:pPr>
        <w:spacing w:before="0" w:after="57" w:line="400" w:lineRule="auto"/>
        <w:ind w:left="940" w:right="778" w:firstLine="499"/>
        <w:jc w:val="left"/>
        <w:rPr>
          <w:rFonts w:hint="eastAsia" w:asciiTheme="minorEastAsia" w:hAnsiTheme="minorEastAsia" w:eastAsiaTheme="minorEastAsia" w:cstheme="minorEastAsia"/>
          <w:b/>
          <w:sz w:val="20"/>
        </w:rPr>
      </w:pPr>
      <w:r>
        <w:rPr>
          <w:rFonts w:hint="eastAsia" w:asciiTheme="minorEastAsia" w:hAnsiTheme="minorEastAsia" w:eastAsiaTheme="minorEastAsia" w:cstheme="minorEastAsia"/>
          <w:color w:val="000007"/>
          <w:sz w:val="20"/>
        </w:rPr>
        <w:t>此处分单元列出教学的知识点和能力要求。知识点用布鲁姆认知能力的 6 种层次：“(  知道”、“理解”、“运用”、“分析”、“综合”、“评价”)来表达对学生学习要求上的差异。能力要求必须选用合适的行为动词来表达。用文字说明教学的难点所在，并标明每个单元的理论课时数和实践课时数。</w:t>
      </w:r>
    </w:p>
    <w:p>
      <w:pPr>
        <w:pStyle w:val="3"/>
        <w:spacing w:before="6"/>
        <w:rPr>
          <w:rFonts w:ascii="微软雅黑"/>
          <w:b/>
          <w:sz w:val="22"/>
        </w:rPr>
      </w:pPr>
    </w:p>
    <w:p>
      <w:pPr>
        <w:pStyle w:val="3"/>
        <w:ind w:left="1420"/>
      </w:pPr>
    </w:p>
    <w:p>
      <w:pPr>
        <w:pStyle w:val="3"/>
        <w:ind w:left="1420"/>
      </w:pPr>
    </w:p>
    <w:p>
      <w:pPr>
        <w:pStyle w:val="3"/>
        <w:ind w:left="1420"/>
      </w:pPr>
    </w:p>
    <w:p>
      <w:pPr>
        <w:pStyle w:val="3"/>
        <w:ind w:left="1420"/>
      </w:pPr>
    </w:p>
    <w:p>
      <w:pPr>
        <w:pStyle w:val="3"/>
        <w:ind w:left="1420"/>
      </w:pPr>
    </w:p>
    <w:p>
      <w:pPr>
        <w:pStyle w:val="3"/>
        <w:ind w:left="1420"/>
      </w:pPr>
    </w:p>
    <w:p>
      <w:pPr>
        <w:pStyle w:val="3"/>
        <w:ind w:left="1420"/>
      </w:pPr>
    </w:p>
    <w:p>
      <w:pPr>
        <w:pStyle w:val="3"/>
        <w:ind w:left="1420"/>
      </w:pPr>
      <w:r>
        <w:t>第一单元：</w:t>
      </w:r>
      <w:r>
        <w:rPr>
          <w:rFonts w:hint="eastAsia"/>
          <w:lang w:val="en-US" w:eastAsia="zh-Hans"/>
        </w:rPr>
        <w:t>基本功素质训练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lang w:val="en-US" w:eastAsia="zh-Hans"/>
        </w:rPr>
        <w:t>基本功素质训练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训练感知</w:t>
      </w:r>
      <w:r>
        <w:rPr>
          <w:rFonts w:hint="default" w:asciiTheme="minorEastAsia" w:hAnsiTheme="minorEastAsia" w:eastAsiaTheme="minorEastAsia" w:cstheme="minorEastAsia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发展想象力即兴适应练习交代戏剧表演是门什么样的课程，节奏变化练习，信念感和真实感练习，帮助学生对戏剧表演建立一个基础的认知。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lang w:val="en-US" w:eastAsia="zh-Hans"/>
        </w:rPr>
        <w:t>教学目的</w:t>
      </w:r>
      <w:r>
        <w:rPr>
          <w:rFonts w:hint="default" w:asciiTheme="minorEastAsia" w:hAnsiTheme="minorEastAsia" w:eastAsiaTheme="minorEastAsia" w:cstheme="minorEastAsia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表演教学就是要求通过系统、科学的训练方法，使学生建立正确的舞台自我感觉，就是 要求像生活中对待一切事物的态度一样，去对待一切舞合虛构。基本功素质训练演员练习生活 中人的一种本能，当己进入虛构的情境，演员就此须有能力以假乱真，这种信念感，能创造出 像真实生活那样的一种艺术真实感，从而才能获得正确的舞台自我感觉。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lang w:val="en-US" w:eastAsia="zh-Hans"/>
        </w:rPr>
        <w:t>第一单元主要就是以训练为主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让学生进行舞台训练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训练基本功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</w:rPr>
        <w:t>第二单元：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舞台行动与规定情景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lang w:val="en-US" w:eastAsia="zh-Hans"/>
        </w:rPr>
        <w:t>通过课堂上的无实物表演</w:t>
      </w:r>
      <w:r>
        <w:rPr>
          <w:rFonts w:hint="default" w:asciiTheme="minorEastAsia" w:hAnsiTheme="minorEastAsia" w:eastAsiaTheme="minorEastAsia" w:cstheme="minorEastAsia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不同物体的态度变化</w:t>
      </w:r>
      <w:r>
        <w:rPr>
          <w:rFonts w:hint="default" w:asciiTheme="minorEastAsia" w:hAnsiTheme="minorEastAsia" w:eastAsiaTheme="minorEastAsia" w:cstheme="minorEastAsia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不同环境变化</w:t>
      </w:r>
      <w:r>
        <w:rPr>
          <w:rFonts w:hint="default" w:asciiTheme="minorEastAsia" w:hAnsiTheme="minorEastAsia" w:eastAsiaTheme="minorEastAsia" w:cstheme="minorEastAsia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不同人物的变化</w:t>
      </w:r>
      <w:r>
        <w:rPr>
          <w:rFonts w:hint="default" w:asciiTheme="minorEastAsia" w:hAnsiTheme="minorEastAsia" w:eastAsiaTheme="minorEastAsia" w:cstheme="minorEastAsia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规定情境不断复杂化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通过表演训练让学生在舞台上遵循生活中反应科学规律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重视感受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思考判断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行动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这桑三个基本的环节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lang w:eastAsia="zh-Hans"/>
        </w:rPr>
        <w:t>（1）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 xml:space="preserve">无实物练习是“动作性想象”和“有机行动” 最有效、最科学的方法，千万不能走 过场，一定要认真、扎实。要用实物来检查，迫使学生认真地抓住无实物练习的行动顺序、行 为逻辑、质感、量感、体积大小、空间、部位、速度、节奏，不漏掉任何环节，“下一个动作是 前一个动作的条件反射的结果”，这一练习的科学性在于养成学生合乎逻辑行动的习惯。会不知 不觉的引导学生进入 “下意识的创造” </w:t>
      </w:r>
    </w:p>
    <w:p>
      <w:pPr>
        <w:pStyle w:val="3"/>
        <w:spacing w:before="3"/>
        <w:ind w:left="1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（2）舞台真实是想象的真实、态度的真实，对物体、对环境、对人的态度变化、实质上 是舞台行动的变化。这种练习也是舞台“假定性” 最好的练习，经过这种训练，学生末来创作 不同风格的现代派戏剧井不困难。 (3） 单人小品不要求太复杂的心理生活，避免学生“演情绪”，“挤感情”而是更多一些 有过生活体验或间接体验的生活小片断。</w:t>
      </w:r>
    </w:p>
    <w:p>
      <w:pPr>
        <w:pStyle w:val="3"/>
        <w:spacing w:before="133"/>
        <w:ind w:left="142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</w:rPr>
        <w:t>分析</w:t>
      </w:r>
      <w:r>
        <w:rPr>
          <w:rFonts w:hint="eastAsia" w:asciiTheme="minorEastAsia" w:hAnsiTheme="minorEastAsia" w:eastAsiaTheme="minorEastAsia" w:cstheme="minorEastAsia"/>
          <w:sz w:val="24"/>
        </w:rPr>
        <w:t>教学难点：</w:t>
      </w:r>
    </w:p>
    <w:p>
      <w:pPr>
        <w:pStyle w:val="3"/>
        <w:spacing w:before="3" w:line="333" w:lineRule="auto"/>
        <w:ind w:left="940" w:right="877" w:firstLine="48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6"/>
        </w:rPr>
        <w:t>可以准确</w:t>
      </w:r>
      <w:r>
        <w:rPr>
          <w:rFonts w:hint="eastAsia" w:asciiTheme="minorEastAsia" w:hAnsiTheme="minorEastAsia" w:eastAsiaTheme="minorEastAsia" w:cstheme="minorEastAsia"/>
          <w:spacing w:val="-6"/>
          <w:lang w:val="en-US" w:eastAsia="zh-Hans"/>
        </w:rPr>
        <w:t>表演的不同</w:t>
      </w:r>
      <w:r>
        <w:rPr>
          <w:rFonts w:hint="eastAsia" w:asciiTheme="minorEastAsia" w:hAnsiTheme="minorEastAsia" w:eastAsiaTheme="minorEastAsia" w:cstheme="minorEastAsia"/>
          <w:spacing w:val="-6"/>
        </w:rPr>
        <w:t>风格和内涵。让学生通过</w:t>
      </w:r>
      <w:r>
        <w:rPr>
          <w:rFonts w:hint="eastAsia" w:asciiTheme="minorEastAsia" w:hAnsiTheme="minorEastAsia" w:eastAsiaTheme="minorEastAsia" w:cstheme="minorEastAsia"/>
        </w:rPr>
        <w:t>一学期的学习，在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舞台上有不一样的</w:t>
      </w:r>
      <w:r>
        <w:rPr>
          <w:rFonts w:hint="eastAsia" w:asciiTheme="minorEastAsia" w:hAnsiTheme="minorEastAsia" w:eastAsiaTheme="minorEastAsia" w:cstheme="minorEastAsia"/>
        </w:rPr>
        <w:t>提高。</w:t>
      </w:r>
    </w:p>
    <w:p>
      <w:pPr>
        <w:pStyle w:val="3"/>
        <w:spacing w:before="11"/>
        <w:rPr>
          <w:sz w:val="26"/>
        </w:rPr>
      </w:pPr>
    </w:p>
    <w:p>
      <w:pPr>
        <w:pStyle w:val="3"/>
        <w:spacing w:before="59"/>
        <w:ind w:left="1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三</w:t>
      </w:r>
      <w:r>
        <w:rPr>
          <w:rFonts w:hint="eastAsia" w:asciiTheme="minorEastAsia" w:hAnsiTheme="minorEastAsia" w:eastAsiaTheme="minorEastAsia" w:cstheme="minorEastAsia"/>
        </w:rPr>
        <w:t>单元：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Hans" w:bidi="ar-SA"/>
        </w:rPr>
        <w:t>演员表演艺术的手段</w:t>
      </w:r>
      <w:r>
        <w:rPr>
          <w:rFonts w:hint="default" w:asciiTheme="minorEastAsia" w:hAnsiTheme="minorEastAsia" w:eastAsiaTheme="minorEastAsia" w:cstheme="minorEastAsia"/>
          <w:lang w:eastAsia="zh-Hans"/>
        </w:rPr>
        <w:t>（7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课时</w:t>
      </w:r>
      <w:r>
        <w:rPr>
          <w:rFonts w:hint="default" w:asciiTheme="minorEastAsia" w:hAnsiTheme="minorEastAsia" w:eastAsiaTheme="minorEastAsia" w:cstheme="minorEastAsia"/>
          <w:lang w:eastAsia="zh-Hans"/>
        </w:rPr>
        <w:t>）</w:t>
      </w:r>
    </w:p>
    <w:p>
      <w:pPr>
        <w:pStyle w:val="3"/>
        <w:spacing w:before="132" w:line="333" w:lineRule="auto"/>
        <w:ind w:left="940" w:right="877" w:firstLine="48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通过</w:t>
      </w:r>
      <w:r>
        <w:rPr>
          <w:rFonts w:hint="eastAsia" w:asciiTheme="minorEastAsia" w:hAnsiTheme="minorEastAsia" w:eastAsiaTheme="minorEastAsia" w:cstheme="minorEastAsia"/>
          <w:spacing w:val="-7"/>
          <w:lang w:val="en-US" w:eastAsia="zh-Hans"/>
        </w:rPr>
        <w:t>话剧影视作品及话剧剧本的分析</w:t>
      </w:r>
      <w:r>
        <w:rPr>
          <w:rFonts w:hint="default" w:asciiTheme="minorEastAsia" w:hAnsiTheme="minorEastAsia" w:eastAsiaTheme="minorEastAsia" w:cstheme="minorEastAsia"/>
          <w:spacing w:val="-7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7"/>
          <w:lang w:val="en-US" w:eastAsia="zh-Hans"/>
        </w:rPr>
        <w:t>从外部形态的角度考量话剧艺术的特征</w:t>
      </w:r>
      <w:r>
        <w:rPr>
          <w:rFonts w:hint="default" w:asciiTheme="minorEastAsia" w:hAnsiTheme="minorEastAsia" w:eastAsiaTheme="minorEastAsia" w:cstheme="minorEastAsia"/>
          <w:spacing w:val="-7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pacing w:val="-7"/>
          <w:lang w:val="en-US" w:eastAsia="zh-Hans"/>
        </w:rPr>
        <w:t>激发学生对于表演艺术本质的思考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3"/>
        <w:spacing w:before="132" w:line="333" w:lineRule="auto"/>
        <w:ind w:left="940" w:right="877" w:firstLine="48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</w:rPr>
        <w:t>教学要求： 舞台交流是有机行动中最重要的元素，也是有机行动的中心环节，是表演技巧训练中最为 复杂，最难掌握的技巧。在现实生活中互相交流是</w:t>
      </w:r>
      <w:r>
        <w:rPr>
          <w:rFonts w:hint="default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>自然而然的下意识中进行的。因为对手的话， 对手的反应都是未知的，而是此时，此地发生的，所以演员必须真听、真看、真想，这是生沅 现象。但舞台上的一切都是事先知道的，因此表演中最严重的问题就是演员在舞台上不能和又 手真实的有机交流，而只是机械地背台词、走地位。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Hans"/>
        </w:rPr>
        <w:t>即兴适应情境联系</w:t>
      </w:r>
      <w:r>
        <w:rPr>
          <w:rFonts w:hint="default" w:asciiTheme="minorEastAsia" w:hAnsiTheme="minorEastAsia" w:eastAsiaTheme="minorEastAsia" w:cstheme="minorEastAsia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可以进行即兴表演</w:t>
      </w:r>
    </w:p>
    <w:p>
      <w:pPr>
        <w:pStyle w:val="3"/>
        <w:spacing w:before="132" w:line="333" w:lineRule="auto"/>
        <w:ind w:left="940" w:right="877" w:firstLine="480"/>
        <w:rPr>
          <w:rFonts w:hint="eastAsia" w:asciiTheme="minorEastAsia" w:hAnsiTheme="minorEastAsia" w:eastAsiaTheme="minorEastAsia" w:cstheme="minorEastAsia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lang w:val="en-US" w:eastAsia="zh-Hans"/>
        </w:rPr>
        <w:t>完成微话剧创作</w:t>
      </w:r>
    </w:p>
    <w:p>
      <w:pPr>
        <w:pStyle w:val="3"/>
        <w:spacing w:before="132" w:line="333" w:lineRule="auto"/>
        <w:ind w:left="940" w:right="877" w:firstLine="480"/>
        <w:rPr>
          <w:rFonts w:hint="eastAsia"/>
          <w:color w:val="000007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教学难点：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Hans"/>
        </w:rPr>
        <w:t>关于禁毒</w:t>
      </w:r>
      <w:r>
        <w:rPr>
          <w:rFonts w:hint="default" w:asciiTheme="minorEastAsia" w:hAnsiTheme="minorEastAsia" w:eastAsiaTheme="minorEastAsia" w:cstheme="minorEastAsia"/>
          <w:sz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Hans"/>
        </w:rPr>
        <w:t>话剧创作</w:t>
      </w:r>
      <w:r>
        <w:rPr>
          <w:rFonts w:hint="default" w:asciiTheme="minorEastAsia" w:hAnsiTheme="minorEastAsia" w:eastAsiaTheme="minorEastAsia" w:cstheme="minorEastAsia"/>
          <w:sz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Hans"/>
        </w:rPr>
        <w:t>戏剧晚会</w:t>
      </w:r>
    </w:p>
    <w:p>
      <w:pPr>
        <w:pStyle w:val="3"/>
        <w:spacing w:before="1"/>
        <w:ind w:left="1300"/>
        <w:rPr>
          <w:rFonts w:hint="eastAsia"/>
          <w:color w:val="000007"/>
          <w:lang w:val="en-US" w:eastAsia="zh-Hans"/>
        </w:rPr>
      </w:pPr>
    </w:p>
    <w:p>
      <w:pPr>
        <w:pStyle w:val="3"/>
        <w:spacing w:before="1"/>
        <w:ind w:left="1300"/>
        <w:rPr>
          <w:rFonts w:hint="eastAsia"/>
          <w:color w:val="000007"/>
          <w:lang w:val="en-US" w:eastAsia="zh-Hans"/>
        </w:rPr>
      </w:pPr>
    </w:p>
    <w:p>
      <w:pPr>
        <w:pStyle w:val="3"/>
        <w:spacing w:before="1"/>
        <w:ind w:left="1300"/>
      </w:pPr>
      <w:r>
        <w:rPr>
          <w:color w:val="000007"/>
        </w:rPr>
        <w:t>七、课内实验名称及基本要求（选填，适用于课内实验）</w:t>
      </w:r>
    </w:p>
    <w:p>
      <w:pPr>
        <w:spacing w:before="162" w:after="4" w:line="268" w:lineRule="auto"/>
        <w:ind w:left="940" w:right="904" w:firstLine="400"/>
        <w:jc w:val="left"/>
        <w:rPr>
          <w:sz w:val="20"/>
        </w:rPr>
      </w:pPr>
      <w:r>
        <w:rPr>
          <w:color w:val="000007"/>
          <w:sz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0" w:type="auto"/>
        <w:tblInd w:w="9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540" w:type="dxa"/>
          </w:tcPr>
          <w:p>
            <w:pPr>
              <w:pStyle w:val="10"/>
              <w:spacing w:line="264" w:lineRule="exact"/>
              <w:ind w:left="170"/>
              <w:rPr>
                <w:sz w:val="20"/>
              </w:rPr>
            </w:pPr>
            <w:r>
              <w:rPr>
                <w:color w:val="000007"/>
                <w:w w:val="99"/>
                <w:sz w:val="20"/>
              </w:rPr>
              <w:t>序</w:t>
            </w:r>
          </w:p>
          <w:p>
            <w:pPr>
              <w:pStyle w:val="10"/>
              <w:spacing w:line="236" w:lineRule="exact"/>
              <w:ind w:left="170"/>
              <w:rPr>
                <w:sz w:val="20"/>
              </w:rPr>
            </w:pPr>
            <w:r>
              <w:rPr>
                <w:color w:val="000007"/>
                <w:w w:val="99"/>
                <w:sz w:val="20"/>
              </w:rPr>
              <w:t>号</w:t>
            </w:r>
          </w:p>
        </w:tc>
        <w:tc>
          <w:tcPr>
            <w:tcW w:w="1620" w:type="dxa"/>
          </w:tcPr>
          <w:p>
            <w:pPr>
              <w:pStyle w:val="10"/>
              <w:spacing w:before="123"/>
              <w:ind w:left="410"/>
              <w:rPr>
                <w:sz w:val="20"/>
              </w:rPr>
            </w:pPr>
            <w:r>
              <w:rPr>
                <w:color w:val="000007"/>
                <w:sz w:val="20"/>
              </w:rPr>
              <w:t>实验名称</w:t>
            </w:r>
          </w:p>
        </w:tc>
        <w:tc>
          <w:tcPr>
            <w:tcW w:w="3240" w:type="dxa"/>
          </w:tcPr>
          <w:p>
            <w:pPr>
              <w:pStyle w:val="10"/>
              <w:spacing w:before="123"/>
              <w:ind w:left="1198" w:right="1192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主要内容</w:t>
            </w:r>
          </w:p>
        </w:tc>
        <w:tc>
          <w:tcPr>
            <w:tcW w:w="900" w:type="dxa"/>
          </w:tcPr>
          <w:p>
            <w:pPr>
              <w:pStyle w:val="10"/>
              <w:spacing w:line="264" w:lineRule="exact"/>
              <w:ind w:left="249"/>
              <w:rPr>
                <w:sz w:val="20"/>
              </w:rPr>
            </w:pPr>
            <w:r>
              <w:rPr>
                <w:color w:val="000007"/>
                <w:w w:val="95"/>
                <w:sz w:val="20"/>
              </w:rPr>
              <w:t>实验</w:t>
            </w:r>
          </w:p>
          <w:p>
            <w:pPr>
              <w:pStyle w:val="10"/>
              <w:spacing w:line="236" w:lineRule="exact"/>
              <w:ind w:left="249"/>
              <w:rPr>
                <w:sz w:val="20"/>
              </w:rPr>
            </w:pPr>
            <w:r>
              <w:rPr>
                <w:color w:val="000007"/>
                <w:w w:val="95"/>
                <w:sz w:val="20"/>
              </w:rPr>
              <w:t>时数</w:t>
            </w:r>
          </w:p>
        </w:tc>
        <w:tc>
          <w:tcPr>
            <w:tcW w:w="1057" w:type="dxa"/>
          </w:tcPr>
          <w:p>
            <w:pPr>
              <w:pStyle w:val="10"/>
              <w:spacing w:before="123"/>
              <w:ind w:left="126"/>
              <w:rPr>
                <w:sz w:val="20"/>
              </w:rPr>
            </w:pPr>
            <w:r>
              <w:rPr>
                <w:color w:val="000007"/>
                <w:sz w:val="20"/>
              </w:rPr>
              <w:t>实验类型</w:t>
            </w:r>
          </w:p>
        </w:tc>
        <w:tc>
          <w:tcPr>
            <w:tcW w:w="1715" w:type="dxa"/>
          </w:tcPr>
          <w:p>
            <w:pPr>
              <w:pStyle w:val="10"/>
              <w:spacing w:before="123"/>
              <w:ind w:left="635" w:right="63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5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5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5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5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5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before="7"/>
        <w:rPr>
          <w:sz w:val="13"/>
        </w:rPr>
      </w:pPr>
    </w:p>
    <w:p>
      <w:pPr>
        <w:pStyle w:val="3"/>
        <w:spacing w:line="266" w:lineRule="auto"/>
        <w:ind w:left="940" w:right="905" w:firstLine="360"/>
      </w:pPr>
      <w:r>
        <w:rPr>
          <w:rFonts w:hint="eastAsia"/>
          <w:color w:val="000007"/>
          <w:lang w:val="en-US" w:eastAsia="zh-Hans"/>
        </w:rPr>
        <w:t>八</w:t>
      </w:r>
      <w:r>
        <w:rPr>
          <w:color w:val="000007"/>
        </w:rPr>
        <w:t>、实践环节各阶段名称及基本要求（选填，适用于集中实践、实习、毕业设计等）</w:t>
      </w:r>
    </w:p>
    <w:p>
      <w:pPr>
        <w:spacing w:before="128" w:after="38"/>
        <w:ind w:left="1340" w:right="0" w:firstLine="0"/>
        <w:jc w:val="left"/>
        <w:rPr>
          <w:sz w:val="20"/>
        </w:rPr>
      </w:pPr>
      <w:r>
        <w:rPr>
          <w:color w:val="000007"/>
          <w:sz w:val="20"/>
        </w:rPr>
        <w:t>列出实践环节各阶段的名称、实践的天数或周数及每个阶段的内容简述。</w:t>
      </w:r>
    </w:p>
    <w:tbl>
      <w:tblPr>
        <w:tblStyle w:val="6"/>
        <w:tblW w:w="0" w:type="auto"/>
        <w:tblInd w:w="8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51" w:type="dxa"/>
          </w:tcPr>
          <w:p>
            <w:pPr>
              <w:pStyle w:val="10"/>
              <w:spacing w:before="35"/>
              <w:ind w:left="108"/>
              <w:rPr>
                <w:sz w:val="20"/>
              </w:rPr>
            </w:pPr>
            <w:r>
              <w:rPr>
                <w:color w:val="000007"/>
                <w:sz w:val="20"/>
              </w:rPr>
              <w:t>序号</w:t>
            </w:r>
          </w:p>
        </w:tc>
        <w:tc>
          <w:tcPr>
            <w:tcW w:w="2171" w:type="dxa"/>
          </w:tcPr>
          <w:p>
            <w:pPr>
              <w:pStyle w:val="10"/>
              <w:spacing w:before="35"/>
              <w:ind w:left="406"/>
              <w:rPr>
                <w:sz w:val="20"/>
              </w:rPr>
            </w:pPr>
            <w:r>
              <w:rPr>
                <w:color w:val="000007"/>
                <w:sz w:val="20"/>
              </w:rPr>
              <w:t>各阶段名称</w:t>
            </w:r>
          </w:p>
        </w:tc>
        <w:tc>
          <w:tcPr>
            <w:tcW w:w="3240" w:type="dxa"/>
          </w:tcPr>
          <w:p>
            <w:pPr>
              <w:pStyle w:val="10"/>
              <w:spacing w:before="35"/>
              <w:ind w:left="1007"/>
              <w:rPr>
                <w:sz w:val="20"/>
              </w:rPr>
            </w:pPr>
            <w:r>
              <w:rPr>
                <w:color w:val="000007"/>
                <w:sz w:val="20"/>
              </w:rPr>
              <w:t>实践主要内容</w:t>
            </w:r>
          </w:p>
        </w:tc>
        <w:tc>
          <w:tcPr>
            <w:tcW w:w="1260" w:type="dxa"/>
          </w:tcPr>
          <w:p>
            <w:pPr>
              <w:pStyle w:val="10"/>
              <w:spacing w:before="35"/>
              <w:ind w:left="107"/>
              <w:rPr>
                <w:sz w:val="20"/>
              </w:rPr>
            </w:pPr>
            <w:r>
              <w:rPr>
                <w:color w:val="000007"/>
                <w:sz w:val="20"/>
              </w:rPr>
              <w:t>天数/周数</w:t>
            </w:r>
          </w:p>
        </w:tc>
        <w:tc>
          <w:tcPr>
            <w:tcW w:w="1125" w:type="dxa"/>
          </w:tcPr>
          <w:p>
            <w:pPr>
              <w:pStyle w:val="10"/>
              <w:spacing w:before="35"/>
              <w:ind w:left="107"/>
              <w:rPr>
                <w:sz w:val="20"/>
              </w:rPr>
            </w:pPr>
            <w:r>
              <w:rPr>
                <w:color w:val="000007"/>
                <w:sz w:val="20"/>
              </w:rPr>
              <w:t>备注</w:t>
            </w:r>
          </w:p>
        </w:tc>
      </w:tr>
      <w:tr>
        <w:trPr>
          <w:trHeight w:val="273" w:hRule="atLeast"/>
        </w:trPr>
        <w:tc>
          <w:tcPr>
            <w:tcW w:w="8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8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8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8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line="333" w:lineRule="exact"/>
        <w:ind w:firstLine="1200" w:firstLineChars="500"/>
      </w:pPr>
      <w:r>
        <w:rPr>
          <w:rFonts w:hint="eastAsia" w:eastAsia="宋体"/>
          <w:color w:val="000007"/>
          <w:lang w:val="en-US" w:eastAsia="zh-CN"/>
        </w:rPr>
        <w:t>九</w:t>
      </w:r>
      <w:r>
        <w:rPr>
          <w:color w:val="000007"/>
        </w:rPr>
        <w:t>、评价方式与成绩（必填项）</w:t>
      </w:r>
    </w:p>
    <w:p>
      <w:pPr>
        <w:pStyle w:val="3"/>
        <w:spacing w:before="1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napToGrid w:val="0"/>
        <w:spacing w:beforeLines="50"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“1”一般为总结性评价, “X”为过程性评价，“X”的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次数一般不少于3次，无论是</w:t>
      </w:r>
      <w:r>
        <w:rPr>
          <w:rFonts w:hint="eastAsia" w:ascii="宋体" w:hAnsi="宋体" w:eastAsia="宋体" w:cs="宋体"/>
          <w:sz w:val="24"/>
          <w:szCs w:val="24"/>
        </w:rPr>
        <w:t>“1”、还是“X”，都可以是纸笔测试，也可以是表现性评价。与能力本位相适应的课程评价方式，较少采用纸笔测试，较多采用表现性评价。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80" w:firstLineChars="200"/>
        <w:rPr>
          <w:rFonts w:hint="eastAsia" w:ascii="宋体" w:hAnsi="宋体" w:eastAsia="宋体" w:cs="宋体"/>
          <w:color w:val="000007"/>
          <w:spacing w:val="-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常用的评价方式有：</w:t>
      </w:r>
      <w:r>
        <w:rPr>
          <w:rFonts w:hint="eastAsia" w:ascii="宋体" w:hAnsi="宋体" w:eastAsia="宋体" w:cs="宋体"/>
          <w:sz w:val="24"/>
          <w:szCs w:val="24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一般课外扩展阅读的检查评价应该成为“X”中的一部分。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同一门课程由多个教师共同授课的，由课程组共同讨论决定X的内容、次数及比例。</w:t>
      </w:r>
    </w:p>
    <w:p>
      <w:pPr>
        <w:pStyle w:val="3"/>
        <w:rPr>
          <w:rFonts w:hint="eastAsia" w:asciiTheme="minorEastAsia" w:hAnsiTheme="minorEastAsia" w:eastAsiaTheme="minorEastAsia" w:cstheme="minorEastAsia"/>
          <w:color w:val="000007"/>
          <w:spacing w:val="-7"/>
          <w:sz w:val="20"/>
          <w:highlight w:val="none"/>
        </w:rPr>
      </w:pPr>
    </w:p>
    <w:tbl>
      <w:tblPr>
        <w:tblStyle w:val="6"/>
        <w:tblpPr w:leftFromText="180" w:rightFromText="180" w:vertAnchor="text" w:horzAnchor="page" w:tblpX="1811" w:tblpY="229"/>
        <w:tblOverlap w:val="never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83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成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383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53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关于禁毒微话剧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X1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平日单元作品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X2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课堂交流表现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X3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课外实践拓展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pStyle w:val="3"/>
        <w:rPr>
          <w:sz w:val="18"/>
        </w:rPr>
      </w:pPr>
    </w:p>
    <w:p>
      <w:pPr>
        <w:pStyle w:val="3"/>
        <w:spacing w:line="333" w:lineRule="exact"/>
        <w:rPr>
          <w:color w:val="000007"/>
        </w:rPr>
      </w:pPr>
    </w:p>
    <w:p>
      <w:pPr>
        <w:pStyle w:val="3"/>
        <w:spacing w:line="333" w:lineRule="exact"/>
        <w:rPr>
          <w:color w:val="000007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tabs>
          <w:tab w:val="left" w:pos="3459"/>
          <w:tab w:val="left" w:pos="4019"/>
          <w:tab w:val="left" w:pos="5979"/>
        </w:tabs>
        <w:spacing w:before="177" w:line="268" w:lineRule="auto"/>
        <w:ind w:right="1203"/>
        <w:jc w:val="left"/>
        <w:rPr>
          <w:rFonts w:hint="eastAsia" w:asciiTheme="minorEastAsia" w:hAnsiTheme="minorEastAsia" w:eastAsiaTheme="minorEastAsia" w:cstheme="minorEastAsia"/>
          <w:color w:val="000007"/>
          <w:sz w:val="28"/>
        </w:rPr>
      </w:pPr>
    </w:p>
    <w:p>
      <w:pPr>
        <w:tabs>
          <w:tab w:val="left" w:pos="3459"/>
          <w:tab w:val="left" w:pos="4019"/>
          <w:tab w:val="left" w:pos="5979"/>
        </w:tabs>
        <w:spacing w:before="177" w:line="268" w:lineRule="auto"/>
        <w:ind w:right="1203"/>
        <w:jc w:val="left"/>
        <w:rPr>
          <w:rFonts w:hint="eastAsia" w:asciiTheme="minorEastAsia" w:hAnsiTheme="minorEastAsia" w:eastAsiaTheme="minorEastAsia" w:cstheme="minorEastAsia"/>
          <w:color w:val="000007"/>
          <w:sz w:val="28"/>
        </w:rPr>
      </w:pPr>
    </w:p>
    <w:p>
      <w:pPr>
        <w:tabs>
          <w:tab w:val="left" w:pos="3459"/>
          <w:tab w:val="left" w:pos="4019"/>
          <w:tab w:val="left" w:pos="5979"/>
        </w:tabs>
        <w:spacing w:before="177" w:line="268" w:lineRule="auto"/>
        <w:ind w:right="1203"/>
        <w:jc w:val="left"/>
        <w:rPr>
          <w:rFonts w:hint="eastAsia" w:asciiTheme="minorEastAsia" w:hAnsiTheme="minorEastAsia" w:eastAsiaTheme="minorEastAsia" w:cstheme="minorEastAsia"/>
          <w:color w:val="000007"/>
          <w:sz w:val="28"/>
        </w:rPr>
      </w:pPr>
    </w:p>
    <w:p>
      <w:pPr>
        <w:tabs>
          <w:tab w:val="left" w:pos="3459"/>
          <w:tab w:val="left" w:pos="4019"/>
          <w:tab w:val="left" w:pos="5979"/>
        </w:tabs>
        <w:spacing w:before="177" w:line="268" w:lineRule="auto"/>
        <w:ind w:right="1203" w:firstLine="840" w:firstLineChars="300"/>
        <w:jc w:val="left"/>
        <w:rPr>
          <w:sz w:val="28"/>
        </w:rPr>
      </w:pP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撰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sz w:val="28"/>
        </w:rPr>
        <w:t>写</w:t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人：</w:t>
      </w:r>
      <w:r>
        <w:rPr>
          <w:rFonts w:hint="default" w:asciiTheme="minorEastAsia" w:hAnsiTheme="minorEastAsia" w:eastAsiaTheme="minorEastAsia" w:cstheme="minorEastAsia"/>
          <w:color w:val="000007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7"/>
          <w:sz w:val="28"/>
          <w:lang w:val="en-US" w:eastAsia="zh-CN"/>
        </w:rPr>
        <w:t>程 玮</w:t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ab/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系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sz w:val="28"/>
        </w:rPr>
        <w:t>主</w:t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任审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sz w:val="28"/>
        </w:rPr>
        <w:t>核</w:t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签名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sz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7"/>
          <w:spacing w:val="70"/>
          <w:sz w:val="28"/>
        </w:rPr>
        <w:t xml:space="preserve"> </w:t>
      </w:r>
      <w:r>
        <w:rPr>
          <w:rFonts w:hint="default" w:asciiTheme="minorEastAsia" w:hAnsiTheme="minorEastAsia" w:eastAsiaTheme="minorEastAsia" w:cstheme="minorEastAsia"/>
          <w:color w:val="000007"/>
          <w:spacing w:val="-11"/>
          <w:sz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审</w:t>
      </w:r>
      <w:r>
        <w:rPr>
          <w:rFonts w:hint="eastAsia" w:asciiTheme="minorEastAsia" w:hAnsiTheme="minorEastAsia" w:eastAsiaTheme="minorEastAsia" w:cstheme="minorEastAsia"/>
          <w:color w:val="000007"/>
          <w:spacing w:val="-3"/>
          <w:sz w:val="28"/>
        </w:rPr>
        <w:t>核</w:t>
      </w:r>
      <w:r>
        <w:rPr>
          <w:rFonts w:hint="eastAsia" w:asciiTheme="minorEastAsia" w:hAnsiTheme="minorEastAsia" w:eastAsiaTheme="minorEastAsia" w:cstheme="minorEastAsia"/>
          <w:color w:val="000007"/>
          <w:sz w:val="28"/>
        </w:rPr>
        <w:t>时间：</w:t>
      </w:r>
    </w:p>
    <w:p/>
    <w:sectPr>
      <w:pgSz w:w="11910" w:h="16840"/>
      <w:pgMar w:top="1420" w:right="92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MicrosoftYaHei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4B5E"/>
    <w:rsid w:val="349302C2"/>
    <w:rsid w:val="380341AD"/>
    <w:rsid w:val="61D737B8"/>
    <w:rsid w:val="6E6E472E"/>
    <w:rsid w:val="6FC79088"/>
    <w:rsid w:val="739E3F1B"/>
    <w:rsid w:val="7BBD9634"/>
    <w:rsid w:val="7BDDA702"/>
    <w:rsid w:val="7F075823"/>
    <w:rsid w:val="7FCBB54E"/>
    <w:rsid w:val="AE3F7C0A"/>
    <w:rsid w:val="BEFFDF3F"/>
    <w:rsid w:val="D57B6DAA"/>
    <w:rsid w:val="EDFB9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8"/>
      <w:ind w:left="1195" w:right="1173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24"/>
      <w:szCs w:val="24"/>
      <w:lang w:val="en-US" w:eastAsia="en-US" w:bidi="ar-SA"/>
    </w:rPr>
  </w:style>
  <w:style w:type="paragraph" w:styleId="4">
    <w:name w:val="Title"/>
    <w:basedOn w:val="1"/>
    <w:qFormat/>
    <w:uiPriority w:val="1"/>
    <w:pPr>
      <w:spacing w:before="32"/>
      <w:ind w:left="1319" w:right="1259"/>
      <w:jc w:val="center"/>
    </w:pPr>
    <w:rPr>
      <w:rFonts w:ascii="PMingLiU" w:hAnsi="PMingLiU" w:eastAsia="PMingLiU" w:cs="PMingLiU"/>
      <w:sz w:val="40"/>
      <w:szCs w:val="40"/>
      <w:lang w:val="en-US" w:eastAsia="en-US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132"/>
      <w:ind w:left="1420" w:hanging="359"/>
    </w:pPr>
    <w:rPr>
      <w:rFonts w:ascii="PMingLiU" w:hAnsi="PMingLiU" w:eastAsia="PMingLiU" w:cs="PMingLiU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PMingLiU" w:hAnsi="PMingLiU" w:eastAsia="PMingLiU" w:cs="PMingLiU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2021-02-22T08:24:00Z</dcterms:created>
  <dc:creator>juvg</dc:creator>
  <cp:lastModifiedBy>a081807</cp:lastModifiedBy>
  <dcterms:modified xsi:type="dcterms:W3CDTF">2022-09-28T17:09:44Z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2021-02-19T00:00:00Z</vt:filetime>
  </property>
  <property fmtid="{D5CDD505-2E9C-101B-9397-08002B2CF9AE}" pid="5" name="KSOProductBuildVer">
    <vt:lpwstr>2052-2.7.1.4479</vt:lpwstr>
  </property>
  <property fmtid="{D5CDD505-2E9C-101B-9397-08002B2CF9AE}" pid="6" name="ICV">
    <vt:lpwstr>FD42B806CE114AA1A6B64F50F58BCDB5</vt:lpwstr>
  </property>
</Properties>
</file>