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楷体" w:hAnsi="楷体" w:eastAsia="楷体" w:cs="宋体"/>
          <w:color w:val="000000"/>
          <w:kern w:val="0"/>
          <w:sz w:val="22"/>
          <w:szCs w:val="22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  <w:lang w:val="en-US"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【围棋启蒙】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【The Surrounding Game for Kids】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  <w:r>
        <w:rPr>
          <w:rFonts w:hint="eastAsia" w:ascii="黑体" w:hAnsi="宋体" w:eastAsia="黑体"/>
          <w:sz w:val="24"/>
        </w:rPr>
        <w:t xml:space="preserve"> 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2108319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1学分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英语专业、</w:t>
      </w:r>
      <w:r>
        <w:rPr>
          <w:rFonts w:hint="eastAsia"/>
          <w:color w:val="000000"/>
          <w:sz w:val="20"/>
          <w:szCs w:val="20"/>
        </w:rPr>
        <w:t>学前教育专业</w:t>
      </w:r>
      <w:r>
        <w:rPr>
          <w:rFonts w:hint="eastAsia"/>
          <w:color w:val="000000"/>
          <w:sz w:val="20"/>
          <w:szCs w:val="20"/>
          <w:lang w:eastAsia="zh-CN"/>
        </w:rPr>
        <w:t>、</w:t>
      </w:r>
      <w:r>
        <w:rPr>
          <w:rFonts w:hint="eastAsia"/>
          <w:color w:val="000000"/>
          <w:sz w:val="20"/>
          <w:szCs w:val="20"/>
          <w:lang w:val="en-US" w:eastAsia="zh-CN"/>
        </w:rPr>
        <w:t>外语专业等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Hans"/>
        </w:rPr>
        <w:t>综合素质选修课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围棋系</w:t>
      </w:r>
    </w:p>
    <w:p>
      <w:pPr>
        <w:snapToGrid w:val="0"/>
        <w:spacing w:line="288" w:lineRule="auto"/>
        <w:ind w:firstLine="394" w:firstLineChars="196"/>
        <w:rPr>
          <w:rFonts w:hint="eastAsia"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 xml:space="preserve"> 教材【How to Play Go  作者：徐兆熙 出版社： 北京体育大学音像  版本信息：2008年】</w:t>
      </w:r>
    </w:p>
    <w:p>
      <w:pPr>
        <w:snapToGrid w:val="0"/>
        <w:spacing w:line="288" w:lineRule="auto"/>
        <w:ind w:firstLine="394" w:firstLineChars="196"/>
        <w:rPr>
          <w:rFonts w:hint="eastAsia"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参考书目</w:t>
      </w:r>
      <w:r>
        <w:rPr>
          <w:rFonts w:hint="default"/>
          <w:b/>
          <w:bCs/>
          <w:color w:val="000000"/>
          <w:sz w:val="20"/>
          <w:szCs w:val="20"/>
        </w:rPr>
        <w:t>：</w:t>
      </w:r>
      <w:r>
        <w:rPr>
          <w:rFonts w:hint="eastAsia"/>
          <w:color w:val="000000"/>
          <w:sz w:val="20"/>
          <w:szCs w:val="20"/>
        </w:rPr>
        <w:t>【《围棋进阶读本》作者：黄焰 青岛出版社 2011年7月</w:t>
      </w:r>
      <w:r>
        <w:rPr>
          <w:rFonts w:hint="eastAsia"/>
          <w:color w:val="000000"/>
          <w:sz w:val="20"/>
          <w:szCs w:val="20"/>
          <w:lang w:eastAsia="zh-CN"/>
        </w:rPr>
        <w:t>；</w:t>
      </w:r>
      <w:r>
        <w:rPr>
          <w:rFonts w:hint="eastAsia"/>
          <w:color w:val="000000"/>
          <w:sz w:val="20"/>
          <w:szCs w:val="20"/>
        </w:rPr>
        <w:t>《围棋教学习题册》  作者：胡晓苓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/>
          <w:color w:val="000000"/>
          <w:sz w:val="20"/>
          <w:szCs w:val="20"/>
        </w:rPr>
        <w:t>山西人民出版社2011年7月】</w:t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先修课程：【无】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  <w:r>
        <w:rPr>
          <w:rFonts w:hint="eastAsia" w:ascii="黑体" w:hAnsi="宋体" w:eastAsia="黑体"/>
          <w:sz w:val="24"/>
        </w:rPr>
        <w:t xml:space="preserve"> 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围棋起源于中国，是流传至今的、世界上最古老的益智游戏。它规则极其简单，但是变化极其复杂。它是一门易学难精的学问。古人称为“小数”，有许多成语与围棋有关，比如专心致志、举一反三、举棋不定等等。在中华传统文化中，围棋的黑白象征阴阳，蕴含了自然之道和许多人生哲理，它是优秀传统文化的典型代表之一。琴棋书画在古代，被认为是人们修身养性的基本方式，其中棋指围棋。围棋正在世界范围内流行，中华围棋文化走出去的时代要求需要有懂启蒙教育，又懂英语的围棋教师。因此我们开设该门课程，目的是带领大家初步体验这一古老而全新的游戏、增加一门教学技能，增强职业文化自信。 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  <w:r>
        <w:rPr>
          <w:rFonts w:hint="eastAsia" w:ascii="黑体" w:hAnsi="宋体" w:eastAsia="黑体"/>
          <w:sz w:val="24"/>
        </w:rPr>
        <w:t xml:space="preserve"> </w:t>
      </w:r>
    </w:p>
    <w:p>
      <w:pPr>
        <w:widowControl/>
        <w:spacing w:before="156" w:beforeLines="50" w:after="156" w:afterLines="50" w:line="288" w:lineRule="auto"/>
        <w:ind w:left="210" w:leftChars="100" w:firstLine="100" w:firstLineChars="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围棋有易学难精，充满智慧的特点，即能娱乐，又可提高素质，锻炼智力，是幼儿园大班孩子十分喜欢的游戏项目之一。围棋文化走出去的时代要求，需要大量即懂围棋启蒙教学，又懂英语的人才。中宣部，国家体育总局、中国围棋协会等于2020年11月专门开展《中国围棋文化走出去工作会议》，部署研究各项战略和项目。掌握好用英语教围棋的技能，可以广泛结识世界各地的棋友和小朋友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widowControl/>
        <w:spacing w:before="156" w:beforeLines="50" w:after="156" w:afterLines="50" w:line="288" w:lineRule="auto"/>
        <w:ind w:left="210" w:leftChars="100" w:firstLine="100" w:firstLineChars="50"/>
        <w:jc w:val="left"/>
      </w:pPr>
      <w:r>
        <w:rPr>
          <w:rFonts w:hint="eastAsia"/>
          <w:color w:val="000000"/>
          <w:sz w:val="20"/>
          <w:szCs w:val="20"/>
          <w:lang w:val="en-US" w:eastAsia="zh-CN"/>
        </w:rPr>
        <w:t>该课程要求有较高的英语学习兴趣。</w:t>
      </w:r>
      <w:r>
        <w:rPr>
          <w:rFonts w:hint="eastAsia"/>
          <w:color w:val="000000"/>
          <w:sz w:val="20"/>
          <w:szCs w:val="20"/>
        </w:rPr>
        <w:t>围棋文化走出去的时代要求，需要大量即懂围棋启蒙教学，又懂英语的人才。中宣部，国家体育总局、中国围棋协会等于2020年11月专门开展《中国围棋文化走出去工作会议》，部署研究各项战略和项目。掌握好用英语教围棋的技能，可以广泛结识世界各地的棋友和小朋友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四、</w:t>
      </w: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目标/课程预期学习成果</w:t>
      </w:r>
      <w:r>
        <w:rPr>
          <w:rFonts w:ascii="黑体" w:hAnsi="宋体" w:eastAsia="黑体"/>
          <w:sz w:val="24"/>
          <w:highlight w:val="none"/>
        </w:rPr>
        <w:t>（必填项）（</w:t>
      </w:r>
      <w:r>
        <w:rPr>
          <w:rFonts w:hint="eastAsia" w:ascii="黑体" w:hAnsi="宋体" w:eastAsia="黑体"/>
          <w:sz w:val="24"/>
          <w:highlight w:val="none"/>
        </w:rPr>
        <w:t>预期学习成果</w:t>
      </w:r>
      <w:r>
        <w:rPr>
          <w:rFonts w:ascii="黑体" w:hAnsi="宋体" w:eastAsia="黑体"/>
          <w:sz w:val="24"/>
          <w:highlight w:val="none"/>
        </w:rPr>
        <w:t>要可测量/能够证明）</w:t>
      </w:r>
    </w:p>
    <w:p>
      <w:pPr>
        <w:spacing w:line="360" w:lineRule="auto"/>
        <w:ind w:firstLine="500" w:firstLineChars="250"/>
        <w:rPr>
          <w:color w:val="FF0000"/>
          <w:sz w:val="20"/>
          <w:szCs w:val="20"/>
          <w:highlight w:val="none"/>
        </w:rPr>
      </w:pPr>
      <w:r>
        <w:rPr>
          <w:rFonts w:hint="eastAsia"/>
          <w:bCs/>
          <w:sz w:val="20"/>
          <w:szCs w:val="20"/>
          <w:highlight w:val="none"/>
        </w:rPr>
        <w:t>课程预期学习成果必须写到指标点，只写三级编码即可。“课程目标”这列要写清楚细化的预期学习成果，撰写时必须用适当的行为动词引导。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LO4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 w:val="20"/>
              </w:rPr>
              <w:t>掌握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围棋的规则，了解围棋的起源和下法</w:t>
            </w:r>
            <w:r>
              <w:rPr>
                <w:rFonts w:hint="default"/>
                <w:color w:val="000000"/>
                <w:sz w:val="20"/>
                <w:lang w:eastAsia="zh-Hans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现场演示及</w:t>
            </w:r>
            <w:r>
              <w:rPr>
                <w:rFonts w:hint="eastAsia"/>
                <w:color w:val="000000"/>
                <w:sz w:val="20"/>
              </w:rPr>
              <w:t>课堂讲授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作业：围棋入门教学设计1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2.了解棋子的价值和不同位置的差别，了解围棋的生存条件与围地的基本方法。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分组对弈练习和讲解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课堂展示1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3.基本棋道和礼仪，让孩子尊重对手，懂得行棋的次序和方向。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围棋礼仪展示，课堂试讲练习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Hans"/>
              </w:rPr>
              <w:t>课堂展示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LO8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1.了解世界围棋传播简史和经典棋局回顾，培养反思意识和国际视野。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经典棋局赏析，小组复盘交流。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作业：围棋入门教学设计2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2.掌握围棋英语术语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分析棋局和展示形势判断的方法，运用英语讲解围棋的能力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课堂展示3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  <w:highlight w:val="none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五、</w:t>
      </w:r>
      <w:r>
        <w:rPr>
          <w:rFonts w:ascii="黑体" w:hAnsi="宋体" w:eastAsia="黑体"/>
          <w:sz w:val="24"/>
          <w:highlight w:val="none"/>
        </w:rPr>
        <w:t>课程内容（必填项）</w:t>
      </w:r>
    </w:p>
    <w:p>
      <w:pPr>
        <w:snapToGrid w:val="0"/>
        <w:spacing w:line="480" w:lineRule="auto"/>
        <w:ind w:firstLine="392" w:firstLineChars="196"/>
        <w:rPr>
          <w:rFonts w:hint="eastAsia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第一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单元</w:t>
      </w:r>
      <w:r>
        <w:rPr>
          <w:rFonts w:hint="eastAsia" w:ascii="宋体" w:hAnsi="宋体"/>
          <w:color w:val="000000"/>
          <w:sz w:val="20"/>
          <w:szCs w:val="20"/>
        </w:rPr>
        <w:t>　围棋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规则（the rules of go）</w:t>
      </w:r>
    </w:p>
    <w:p>
      <w:pPr>
        <w:snapToGrid w:val="0"/>
        <w:spacing w:line="480" w:lineRule="auto"/>
        <w:ind w:firstLine="792" w:firstLineChars="396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教学目标：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Learning aims</w:t>
      </w:r>
    </w:p>
    <w:p>
      <w:pPr>
        <w:snapToGrid w:val="0"/>
        <w:spacing w:line="480" w:lineRule="auto"/>
        <w:ind w:firstLine="792" w:firstLineChars="396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初识围棋</w:t>
      </w:r>
      <w:r>
        <w:rPr>
          <w:rFonts w:hint="eastAsia" w:ascii="宋体" w:hAnsi="宋体"/>
          <w:color w:val="000000"/>
          <w:sz w:val="20"/>
          <w:szCs w:val="20"/>
          <w:lang w:eastAsia="zh-CN"/>
        </w:rPr>
        <w:t>（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to know the surrounding game</w:t>
      </w:r>
      <w:r>
        <w:rPr>
          <w:rFonts w:hint="eastAsia" w:ascii="宋体" w:hAnsi="宋体"/>
          <w:color w:val="000000"/>
          <w:sz w:val="20"/>
          <w:szCs w:val="20"/>
          <w:lang w:eastAsia="zh-CN"/>
        </w:rPr>
        <w:t>）</w:t>
      </w:r>
    </w:p>
    <w:p>
      <w:pPr>
        <w:snapToGrid w:val="0"/>
        <w:spacing w:line="480" w:lineRule="auto"/>
        <w:ind w:firstLine="792" w:firstLineChars="396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掌握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围棋规则（to master the rules of go）</w:t>
      </w:r>
    </w:p>
    <w:p>
      <w:pPr>
        <w:snapToGrid w:val="0"/>
        <w:spacing w:line="480" w:lineRule="auto"/>
        <w:ind w:firstLine="792" w:firstLineChars="396"/>
        <w:rPr>
          <w:rFonts w:hint="eastAsia" w:ascii="宋体" w:hAnsi="宋体"/>
          <w:color w:val="000000"/>
          <w:sz w:val="20"/>
          <w:szCs w:val="20"/>
        </w:rPr>
      </w:pPr>
    </w:p>
    <w:p>
      <w:pPr>
        <w:snapToGrid w:val="0"/>
        <w:spacing w:line="480" w:lineRule="auto"/>
        <w:ind w:firstLine="792" w:firstLineChars="396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教学重点：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Key points</w:t>
      </w:r>
    </w:p>
    <w:p>
      <w:pPr>
        <w:numPr>
          <w:ilvl w:val="0"/>
          <w:numId w:val="1"/>
        </w:numPr>
        <w:snapToGrid w:val="0"/>
        <w:spacing w:line="480" w:lineRule="auto"/>
        <w:ind w:firstLine="792" w:firstLineChars="396"/>
        <w:rPr>
          <w:rFonts w:hint="eastAsia" w:ascii="宋体" w:hAnsi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规则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 the rules</w:t>
      </w:r>
    </w:p>
    <w:p>
      <w:pPr>
        <w:numPr>
          <w:ilvl w:val="0"/>
          <w:numId w:val="1"/>
        </w:numPr>
        <w:snapToGrid w:val="0"/>
        <w:spacing w:line="480" w:lineRule="auto"/>
        <w:ind w:firstLine="792" w:firstLineChars="396"/>
        <w:rPr>
          <w:rFonts w:hint="eastAsia" w:ascii="宋体" w:hAnsi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儿童棋具介绍 Basic Equipment for Kids</w:t>
      </w:r>
    </w:p>
    <w:p>
      <w:pPr>
        <w:numPr>
          <w:ilvl w:val="0"/>
          <w:numId w:val="1"/>
        </w:numPr>
        <w:snapToGrid w:val="0"/>
        <w:spacing w:line="480" w:lineRule="auto"/>
        <w:ind w:firstLine="792" w:firstLineChars="396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吃子技巧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 capturing technologies</w:t>
      </w:r>
    </w:p>
    <w:p>
      <w:pPr>
        <w:numPr>
          <w:ilvl w:val="0"/>
          <w:numId w:val="0"/>
        </w:numPr>
        <w:snapToGrid w:val="0"/>
        <w:spacing w:line="480" w:lineRule="auto"/>
        <w:rPr>
          <w:rFonts w:hint="eastAsia" w:ascii="宋体" w:hAnsi="宋体"/>
          <w:color w:val="000000"/>
          <w:sz w:val="20"/>
          <w:szCs w:val="20"/>
        </w:rPr>
      </w:pPr>
    </w:p>
    <w:p>
      <w:pPr>
        <w:numPr>
          <w:ilvl w:val="0"/>
          <w:numId w:val="0"/>
        </w:numPr>
        <w:snapToGrid w:val="0"/>
        <w:spacing w:line="480" w:lineRule="auto"/>
        <w:ind w:firstLine="400" w:firstLineChars="200"/>
        <w:rPr>
          <w:rFonts w:hint="default" w:ascii="宋体" w:hAnsi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第二单元 围棋行棋常规</w:t>
      </w:r>
    </w:p>
    <w:p>
      <w:pPr>
        <w:numPr>
          <w:ilvl w:val="0"/>
          <w:numId w:val="2"/>
        </w:numPr>
        <w:snapToGrid w:val="0"/>
        <w:spacing w:line="480" w:lineRule="auto"/>
        <w:ind w:firstLine="800" w:firstLineChars="400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死活基础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 life and death problem（puzzles）</w:t>
      </w:r>
    </w:p>
    <w:p>
      <w:pPr>
        <w:numPr>
          <w:ilvl w:val="0"/>
          <w:numId w:val="2"/>
        </w:numPr>
        <w:snapToGrid w:val="0"/>
        <w:spacing w:line="480" w:lineRule="auto"/>
        <w:ind w:firstLine="800" w:firstLineChars="400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围棋</w:t>
      </w:r>
      <w:r>
        <w:rPr>
          <w:rFonts w:hint="eastAsia" w:ascii="宋体" w:hAnsi="宋体"/>
          <w:color w:val="000000"/>
          <w:sz w:val="20"/>
          <w:szCs w:val="20"/>
        </w:rPr>
        <w:t>布局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 opening styles</w:t>
      </w:r>
    </w:p>
    <w:p>
      <w:pPr>
        <w:numPr>
          <w:ilvl w:val="0"/>
          <w:numId w:val="2"/>
        </w:numPr>
        <w:snapToGrid w:val="0"/>
        <w:spacing w:line="480" w:lineRule="auto"/>
        <w:ind w:firstLine="800" w:firstLineChars="400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中盘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战法  fighting </w:t>
      </w:r>
    </w:p>
    <w:p>
      <w:pPr>
        <w:numPr>
          <w:ilvl w:val="0"/>
          <w:numId w:val="2"/>
        </w:numPr>
        <w:snapToGrid w:val="0"/>
        <w:spacing w:line="480" w:lineRule="auto"/>
        <w:ind w:firstLine="800" w:firstLineChars="400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围棋</w:t>
      </w:r>
      <w:r>
        <w:rPr>
          <w:rFonts w:hint="eastAsia" w:ascii="宋体" w:hAnsi="宋体"/>
          <w:color w:val="000000"/>
          <w:sz w:val="20"/>
          <w:szCs w:val="20"/>
        </w:rPr>
        <w:t>官子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endgame</w:t>
      </w:r>
    </w:p>
    <w:p>
      <w:pPr>
        <w:numPr>
          <w:ilvl w:val="0"/>
          <w:numId w:val="0"/>
        </w:numPr>
        <w:snapToGrid w:val="0"/>
        <w:spacing w:line="480" w:lineRule="auto"/>
        <w:rPr>
          <w:rFonts w:hint="eastAsia" w:ascii="宋体" w:hAnsi="宋体"/>
          <w:color w:val="000000"/>
          <w:sz w:val="20"/>
          <w:szCs w:val="20"/>
        </w:rPr>
      </w:pPr>
    </w:p>
    <w:p>
      <w:pPr>
        <w:snapToGrid w:val="0"/>
        <w:spacing w:line="480" w:lineRule="auto"/>
        <w:ind w:firstLine="392" w:firstLineChars="196"/>
        <w:rPr>
          <w:rFonts w:hint="eastAsia" w:ascii="宋体" w:hAnsi="宋体" w:eastAsia="宋体"/>
          <w:color w:val="000000"/>
          <w:sz w:val="20"/>
          <w:szCs w:val="20"/>
          <w:lang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第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三单元</w:t>
      </w:r>
      <w:r>
        <w:rPr>
          <w:rFonts w:hint="eastAsia" w:ascii="宋体" w:hAnsi="宋体"/>
          <w:color w:val="000000"/>
          <w:sz w:val="20"/>
          <w:szCs w:val="20"/>
        </w:rPr>
        <w:t>　围棋历史</w:t>
      </w:r>
      <w:r>
        <w:rPr>
          <w:rFonts w:hint="eastAsia" w:ascii="宋体" w:hAnsi="宋体"/>
          <w:color w:val="000000"/>
          <w:sz w:val="20"/>
          <w:szCs w:val="20"/>
          <w:lang w:eastAsia="zh-CN"/>
        </w:rPr>
        <w:t>（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the brief history of go</w:t>
      </w:r>
      <w:r>
        <w:rPr>
          <w:rFonts w:hint="eastAsia" w:ascii="宋体" w:hAnsi="宋体"/>
          <w:color w:val="000000"/>
          <w:sz w:val="20"/>
          <w:szCs w:val="20"/>
          <w:lang w:eastAsia="zh-CN"/>
        </w:rPr>
        <w:t>）</w:t>
      </w:r>
    </w:p>
    <w:p>
      <w:pPr>
        <w:snapToGrid w:val="0"/>
        <w:spacing w:line="480" w:lineRule="auto"/>
        <w:ind w:firstLine="792" w:firstLineChars="396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教学目标：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Learning Aims</w:t>
      </w:r>
    </w:p>
    <w:p>
      <w:pPr>
        <w:snapToGrid w:val="0"/>
        <w:spacing w:line="480" w:lineRule="auto"/>
        <w:ind w:firstLine="800" w:firstLineChars="400"/>
        <w:rPr>
          <w:rFonts w:hint="eastAsia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认识各国围棋发展历史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（to know the brief history of go）</w:t>
      </w:r>
    </w:p>
    <w:p>
      <w:pPr>
        <w:snapToGrid w:val="0"/>
        <w:spacing w:line="480" w:lineRule="auto"/>
        <w:ind w:firstLine="792" w:firstLineChars="396"/>
        <w:rPr>
          <w:rFonts w:hint="eastAsia" w:ascii="宋体" w:hAnsi="宋体"/>
          <w:color w:val="000000"/>
          <w:sz w:val="20"/>
          <w:szCs w:val="20"/>
        </w:rPr>
      </w:pPr>
    </w:p>
    <w:p>
      <w:pPr>
        <w:snapToGrid w:val="0"/>
        <w:spacing w:line="480" w:lineRule="auto"/>
        <w:ind w:firstLine="792" w:firstLineChars="396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教学重点：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Key Points</w:t>
      </w:r>
    </w:p>
    <w:p>
      <w:pPr>
        <w:numPr>
          <w:ilvl w:val="0"/>
          <w:numId w:val="3"/>
        </w:numPr>
        <w:snapToGrid w:val="0"/>
        <w:spacing w:line="480" w:lineRule="auto"/>
        <w:ind w:firstLine="800" w:firstLineChars="400"/>
        <w:rPr>
          <w:rFonts w:hint="eastAsia" w:ascii="宋体" w:hAnsi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中国历代围棋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Chinese Go History </w:t>
      </w:r>
    </w:p>
    <w:p>
      <w:pPr>
        <w:numPr>
          <w:ilvl w:val="0"/>
          <w:numId w:val="3"/>
        </w:numPr>
        <w:snapToGrid w:val="0"/>
        <w:spacing w:line="480" w:lineRule="auto"/>
        <w:ind w:firstLine="800" w:firstLineChars="400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日本围棋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Japanese Go History</w:t>
      </w:r>
    </w:p>
    <w:p>
      <w:pPr>
        <w:numPr>
          <w:ilvl w:val="0"/>
          <w:numId w:val="3"/>
        </w:numPr>
        <w:snapToGrid w:val="0"/>
        <w:spacing w:line="480" w:lineRule="auto"/>
        <w:ind w:firstLine="800" w:firstLineChars="400"/>
        <w:rPr>
          <w:rFonts w:hint="eastAsia" w:ascii="宋体" w:hAnsi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韩国围棋 Korean Go History</w:t>
      </w:r>
    </w:p>
    <w:p>
      <w:pPr>
        <w:numPr>
          <w:ilvl w:val="0"/>
          <w:numId w:val="3"/>
        </w:numPr>
        <w:snapToGrid w:val="0"/>
        <w:spacing w:line="480" w:lineRule="auto"/>
        <w:ind w:firstLine="800" w:firstLineChars="400"/>
        <w:rPr>
          <w:rFonts w:hint="eastAsia" w:ascii="宋体" w:hAnsi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世界围棋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Go Promotion Worldwide</w:t>
      </w:r>
    </w:p>
    <w:p>
      <w:pPr>
        <w:snapToGrid w:val="0"/>
        <w:spacing w:line="480" w:lineRule="auto"/>
        <w:ind w:firstLine="800" w:firstLineChars="400"/>
        <w:rPr>
          <w:rFonts w:hint="default" w:ascii="宋体" w:hAnsi="宋体"/>
          <w:color w:val="000000"/>
          <w:sz w:val="20"/>
          <w:szCs w:val="20"/>
          <w:lang w:val="en-US" w:eastAsia="zh-CN"/>
        </w:rPr>
      </w:pPr>
    </w:p>
    <w:p>
      <w:pPr>
        <w:snapToGrid w:val="0"/>
        <w:spacing w:line="480" w:lineRule="auto"/>
        <w:ind w:firstLine="392" w:firstLineChars="196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第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四单元</w:t>
      </w:r>
      <w:r>
        <w:rPr>
          <w:rFonts w:hint="eastAsia" w:ascii="宋体" w:hAnsi="宋体"/>
          <w:color w:val="000000"/>
          <w:sz w:val="20"/>
          <w:szCs w:val="20"/>
        </w:rPr>
        <w:t>　围棋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启蒙教学（Teaching the Game for Kids）</w:t>
      </w:r>
    </w:p>
    <w:p>
      <w:pPr>
        <w:snapToGrid w:val="0"/>
        <w:spacing w:line="480" w:lineRule="auto"/>
        <w:ind w:firstLine="792" w:firstLineChars="396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教学目标：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Learning Aims</w:t>
      </w:r>
    </w:p>
    <w:p>
      <w:pPr>
        <w:snapToGrid w:val="0"/>
        <w:spacing w:line="480" w:lineRule="auto"/>
        <w:ind w:firstLine="792" w:firstLineChars="396"/>
        <w:rPr>
          <w:rFonts w:hint="default" w:ascii="宋体" w:hAnsi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了解启蒙教学的基本原则 the principles of learning</w:t>
      </w:r>
    </w:p>
    <w:p>
      <w:pPr>
        <w:snapToGrid w:val="0"/>
        <w:spacing w:line="480" w:lineRule="auto"/>
        <w:ind w:firstLine="792" w:firstLineChars="396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掌握启蒙教学的基本方法 the methods of playing together</w:t>
      </w:r>
    </w:p>
    <w:p>
      <w:pPr>
        <w:snapToGrid w:val="0"/>
        <w:spacing w:line="480" w:lineRule="auto"/>
        <w:ind w:firstLine="792" w:firstLineChars="396"/>
        <w:rPr>
          <w:rFonts w:hint="eastAsia" w:ascii="宋体" w:hAnsi="宋体"/>
          <w:color w:val="000000"/>
          <w:sz w:val="20"/>
          <w:szCs w:val="20"/>
        </w:rPr>
      </w:pPr>
    </w:p>
    <w:p>
      <w:pPr>
        <w:snapToGrid w:val="0"/>
        <w:spacing w:line="480" w:lineRule="auto"/>
        <w:ind w:firstLine="792" w:firstLineChars="396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教学重点：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key points</w:t>
      </w:r>
    </w:p>
    <w:p>
      <w:pPr>
        <w:numPr>
          <w:ilvl w:val="0"/>
          <w:numId w:val="4"/>
        </w:numPr>
        <w:snapToGrid w:val="0"/>
        <w:spacing w:line="480" w:lineRule="auto"/>
        <w:ind w:firstLine="792" w:firstLineChars="396"/>
        <w:rPr>
          <w:rFonts w:hint="eastAsia" w:ascii="宋体" w:hAnsi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How to prepare the game before starting</w:t>
      </w:r>
    </w:p>
    <w:p>
      <w:pPr>
        <w:numPr>
          <w:ilvl w:val="0"/>
          <w:numId w:val="4"/>
        </w:numPr>
        <w:snapToGrid w:val="0"/>
        <w:spacing w:line="480" w:lineRule="auto"/>
        <w:ind w:firstLine="792" w:firstLineChars="396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Learning the game in a natural way</w:t>
      </w:r>
    </w:p>
    <w:p>
      <w:pPr>
        <w:widowControl/>
        <w:numPr>
          <w:ilvl w:val="0"/>
          <w:numId w:val="5"/>
        </w:numPr>
        <w:spacing w:before="156" w:beforeLines="50" w:after="156" w:afterLines="50" w:line="288" w:lineRule="auto"/>
        <w:ind w:firstLine="300" w:firstLineChars="150"/>
        <w:jc w:val="left"/>
        <w:rPr>
          <w:rFonts w:ascii="黑体" w:hAnsi="宋体" w:eastAsia="黑体"/>
          <w:sz w:val="24"/>
        </w:rPr>
      </w:pP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 w:ascii="黑体" w:hAnsi="宋体" w:eastAsia="黑体"/>
          <w:sz w:val="24"/>
        </w:rPr>
        <w:t>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bookmarkStart w:id="1" w:name="_Hlk16624596"/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围棋礼仪和规则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5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围棋执子手势和坐姿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训练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演示型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围棋9路棋盘对弈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练习基本的行棋方法和死活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实战训练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围棋历史文化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学生课堂活动设计与展示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演示型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试讲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训练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围棋入门课的试讲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演示型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bookmarkEnd w:id="1"/>
    </w:tbl>
    <w:p>
      <w:pPr>
        <w:snapToGrid w:val="0"/>
        <w:spacing w:line="288" w:lineRule="auto"/>
        <w:ind w:right="26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 w:ascii="黑体" w:hAnsi="宋体" w:eastAsia="黑体"/>
          <w:sz w:val="24"/>
          <w:lang w:eastAsia="zh-CN"/>
        </w:rPr>
        <w:t>七</w:t>
      </w:r>
      <w:r>
        <w:rPr>
          <w:rFonts w:hint="eastAsia" w:ascii="黑体" w:hAnsi="宋体" w:eastAsia="黑体"/>
          <w:sz w:val="24"/>
        </w:rPr>
        <w:t>、评价方式与成绩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或者课堂展示3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</w:t>
      </w:r>
      <w:bookmarkStart w:id="2" w:name="_GoBack"/>
      <w:bookmarkEnd w:id="2"/>
      <w:r>
        <w:rPr>
          <w:rFonts w:hint="eastAsia" w:ascii="宋体" w:hAnsi="宋体"/>
          <w:sz w:val="20"/>
          <w:szCs w:val="20"/>
        </w:rPr>
        <w:t>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  <w:highlight w:val="none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  <w:highlight w:val="none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840" w:firstLineChars="3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2021-12-30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CD21D"/>
    <w:multiLevelType w:val="singleLevel"/>
    <w:tmpl w:val="150CD2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1B8182"/>
    <w:multiLevelType w:val="singleLevel"/>
    <w:tmpl w:val="171B818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DCFFB54"/>
    <w:multiLevelType w:val="singleLevel"/>
    <w:tmpl w:val="2DCFFB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6691B6F"/>
    <w:multiLevelType w:val="singleLevel"/>
    <w:tmpl w:val="66691B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F7BCA77"/>
    <w:multiLevelType w:val="singleLevel"/>
    <w:tmpl w:val="6F7BCA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yODA0YTU1M2YzZTJkZTgwNmFmOWM0ZjczOWVhYTMifQ=="/>
  </w:docVars>
  <w:rsids>
    <w:rsidRoot w:val="00B7651F"/>
    <w:rsid w:val="0007362F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4B0C39"/>
    <w:rsid w:val="06CD4C74"/>
    <w:rsid w:val="07910517"/>
    <w:rsid w:val="08293249"/>
    <w:rsid w:val="089608E6"/>
    <w:rsid w:val="10CD7E96"/>
    <w:rsid w:val="1252010C"/>
    <w:rsid w:val="134066DE"/>
    <w:rsid w:val="170C74B4"/>
    <w:rsid w:val="1C4724A4"/>
    <w:rsid w:val="223D2A98"/>
    <w:rsid w:val="24192CCC"/>
    <w:rsid w:val="29F24B80"/>
    <w:rsid w:val="3CD52CE1"/>
    <w:rsid w:val="3D3C55B6"/>
    <w:rsid w:val="41736F2E"/>
    <w:rsid w:val="4B5A5FF7"/>
    <w:rsid w:val="4C653F3E"/>
    <w:rsid w:val="4FB046A3"/>
    <w:rsid w:val="51246C44"/>
    <w:rsid w:val="54875D3D"/>
    <w:rsid w:val="5EB072A1"/>
    <w:rsid w:val="63BD4EA4"/>
    <w:rsid w:val="66BA4938"/>
    <w:rsid w:val="6EC86481"/>
    <w:rsid w:val="6F5042C2"/>
    <w:rsid w:val="76D71F24"/>
    <w:rsid w:val="773E764D"/>
    <w:rsid w:val="796D0776"/>
    <w:rsid w:val="7E9273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1936</Words>
  <Characters>2381</Characters>
  <Lines>11</Lines>
  <Paragraphs>3</Paragraphs>
  <TotalTime>21</TotalTime>
  <ScaleCrop>false</ScaleCrop>
  <LinksUpToDate>false</LinksUpToDate>
  <CharactersWithSpaces>2527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阐释者</cp:lastModifiedBy>
  <dcterms:modified xsi:type="dcterms:W3CDTF">2022-09-23T04:44:39Z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DE6572C1FB3245C8A99FFC1353906457</vt:lpwstr>
  </property>
</Properties>
</file>