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highlight w:val="none"/>
        </w:rPr>
      </w:pPr>
      <w:r>
        <w:rPr>
          <w:rFonts w:asciiTheme="majorBidi" w:hAnsiTheme="majorBidi" w:eastAsiaTheme="minorEastAsia" w:cstheme="majorBidi"/>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Theme="majorBidi" w:hAnsiTheme="majorBidi" w:eastAsiaTheme="minorEastAsia" w:cstheme="majorBidi"/>
          <w:lang w:eastAsia="zh-CN"/>
        </w:rPr>
        <w:instrText xml:space="preserve">ADDIN CNKISM.UserStyle</w:instrText>
      </w:r>
      <w:r>
        <w:rPr>
          <w:rFonts w:asciiTheme="majorBidi" w:hAnsiTheme="majorBidi" w:eastAsiaTheme="minorEastAsia" w:cstheme="majorBidi"/>
        </w:rPr>
        <w:fldChar w:fldCharType="separate"/>
      </w:r>
      <w:r>
        <w:rPr>
          <w:rFonts w:asciiTheme="majorBidi" w:hAnsiTheme="majorBidi" w:eastAsiaTheme="minorEastAsia" w:cstheme="majorBidi"/>
        </w:rPr>
        <w:fldChar w:fldCharType="end"/>
      </w:r>
      <w:r>
        <w:rPr>
          <w:rFonts w:asciiTheme="majorBidi" w:hAnsiTheme="majorBidi" w:eastAsiaTheme="minorEastAsia" w:cstheme="majorBidi"/>
        </w:rPr>
        <w:pict>
          <v:shape id="文本框 1" o:spid="_x0000_s1028" o:spt="202" type="#_x0000_t202" style="position:absolute;left:0pt;margin-left:41.3pt;margin-top:27.0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highlight w:val="none"/>
        </w:rPr>
        <w:t>【</w:t>
      </w:r>
      <w:r>
        <w:rPr>
          <w:rFonts w:hint="eastAsia"/>
          <w:b/>
          <w:sz w:val="28"/>
          <w:szCs w:val="30"/>
          <w:highlight w:val="none"/>
          <w:lang w:eastAsia="zh-CN"/>
        </w:rPr>
        <w:t>数据新闻</w:t>
      </w:r>
      <w:r>
        <w:rPr>
          <w:rFonts w:hint="eastAsia"/>
          <w:b/>
          <w:sz w:val="28"/>
          <w:szCs w:val="30"/>
          <w:highlight w:val="none"/>
        </w:rPr>
        <w:t>】</w:t>
      </w:r>
    </w:p>
    <w:p>
      <w:pPr>
        <w:shd w:val="clear" w:color="auto" w:fill="F5F5F5"/>
        <w:jc w:val="center"/>
        <w:textAlignment w:val="top"/>
        <w:rPr>
          <w:rFonts w:ascii="Arial" w:hAnsi="Arial" w:cs="Arial"/>
          <w:color w:val="888888"/>
          <w:kern w:val="0"/>
          <w:sz w:val="20"/>
          <w:szCs w:val="20"/>
          <w:highlight w:val="none"/>
        </w:rPr>
      </w:pPr>
      <w:r>
        <w:rPr>
          <w:rFonts w:hint="eastAsia"/>
          <w:b/>
          <w:sz w:val="28"/>
          <w:szCs w:val="30"/>
          <w:highlight w:val="none"/>
        </w:rPr>
        <w:t>【</w:t>
      </w:r>
      <w:r>
        <w:rPr>
          <w:rFonts w:hint="eastAsia"/>
          <w:b/>
          <w:sz w:val="28"/>
          <w:szCs w:val="30"/>
          <w:highlight w:val="none"/>
          <w:lang w:val="en-US" w:eastAsia="zh-CN"/>
        </w:rPr>
        <w:t>Data Journalism</w:t>
      </w:r>
      <w:r>
        <w:rPr>
          <w:rFonts w:hint="eastAsia"/>
          <w:b/>
          <w:sz w:val="28"/>
          <w:szCs w:val="30"/>
          <w:highlight w:val="none"/>
        </w:rPr>
        <w:t>】</w:t>
      </w:r>
      <w:bookmarkStart w:id="0" w:name="a2"/>
      <w:bookmarkEnd w:id="0"/>
    </w:p>
    <w:p>
      <w:pPr>
        <w:spacing w:beforeLines="50"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基本信息（必填项）</w:t>
      </w:r>
    </w:p>
    <w:p>
      <w:pPr>
        <w:snapToGrid w:val="0"/>
        <w:spacing w:line="288" w:lineRule="auto"/>
        <w:ind w:firstLine="413" w:firstLineChars="196"/>
        <w:rPr>
          <w:color w:val="000000"/>
          <w:sz w:val="21"/>
          <w:szCs w:val="21"/>
          <w:highlight w:val="none"/>
        </w:rPr>
      </w:pPr>
      <w:r>
        <w:rPr>
          <w:b/>
          <w:bCs/>
          <w:color w:val="000000"/>
          <w:sz w:val="21"/>
          <w:szCs w:val="21"/>
          <w:highlight w:val="none"/>
        </w:rPr>
        <w:t>课程代码：</w:t>
      </w:r>
      <w:r>
        <w:rPr>
          <w:color w:val="000000"/>
          <w:sz w:val="21"/>
          <w:szCs w:val="21"/>
          <w:highlight w:val="none"/>
        </w:rPr>
        <w:t>【</w:t>
      </w:r>
      <w:r>
        <w:rPr>
          <w:rFonts w:hint="eastAsia"/>
          <w:color w:val="000000"/>
          <w:sz w:val="21"/>
          <w:szCs w:val="21"/>
          <w:highlight w:val="none"/>
        </w:rPr>
        <w:t>203041</w:t>
      </w:r>
      <w:r>
        <w:rPr>
          <w:rFonts w:hint="eastAsia"/>
          <w:color w:val="000000"/>
          <w:sz w:val="21"/>
          <w:szCs w:val="21"/>
          <w:highlight w:val="none"/>
          <w:lang w:val="en-US" w:eastAsia="zh-CN"/>
        </w:rPr>
        <w:t>0</w:t>
      </w:r>
      <w:r>
        <w:rPr>
          <w:color w:val="000000"/>
          <w:sz w:val="21"/>
          <w:szCs w:val="21"/>
          <w:highlight w:val="none"/>
        </w:rPr>
        <w:t>】</w:t>
      </w:r>
    </w:p>
    <w:p>
      <w:pPr>
        <w:snapToGrid w:val="0"/>
        <w:spacing w:line="288" w:lineRule="auto"/>
        <w:ind w:firstLine="413" w:firstLineChars="196"/>
        <w:rPr>
          <w:color w:val="000000"/>
          <w:sz w:val="21"/>
          <w:szCs w:val="21"/>
          <w:highlight w:val="none"/>
        </w:rPr>
      </w:pPr>
      <w:r>
        <w:rPr>
          <w:b/>
          <w:bCs/>
          <w:color w:val="000000"/>
          <w:sz w:val="21"/>
          <w:szCs w:val="21"/>
          <w:highlight w:val="none"/>
        </w:rPr>
        <w:t>课程学分：</w:t>
      </w:r>
      <w:r>
        <w:rPr>
          <w:color w:val="000000"/>
          <w:sz w:val="21"/>
          <w:szCs w:val="21"/>
          <w:highlight w:val="none"/>
        </w:rPr>
        <w:t>【</w:t>
      </w:r>
      <w:r>
        <w:rPr>
          <w:rFonts w:hint="eastAsia"/>
          <w:color w:val="000000"/>
          <w:sz w:val="21"/>
          <w:szCs w:val="21"/>
          <w:highlight w:val="none"/>
          <w:lang w:val="en-US" w:eastAsia="zh-CN"/>
        </w:rPr>
        <w:t>2</w:t>
      </w:r>
      <w:r>
        <w:rPr>
          <w:color w:val="000000"/>
          <w:sz w:val="21"/>
          <w:szCs w:val="21"/>
          <w:highlight w:val="none"/>
        </w:rPr>
        <w:t>】</w:t>
      </w:r>
    </w:p>
    <w:p>
      <w:pPr>
        <w:snapToGrid w:val="0"/>
        <w:spacing w:line="288" w:lineRule="auto"/>
        <w:ind w:firstLine="413" w:firstLineChars="196"/>
        <w:rPr>
          <w:color w:val="000000"/>
          <w:sz w:val="21"/>
          <w:szCs w:val="21"/>
          <w:highlight w:val="none"/>
        </w:rPr>
      </w:pPr>
      <w:r>
        <w:rPr>
          <w:b/>
          <w:bCs/>
          <w:color w:val="000000"/>
          <w:sz w:val="21"/>
          <w:szCs w:val="21"/>
          <w:highlight w:val="none"/>
        </w:rPr>
        <w:t>面向专业：</w:t>
      </w:r>
      <w:r>
        <w:rPr>
          <w:color w:val="000000"/>
          <w:sz w:val="21"/>
          <w:szCs w:val="21"/>
          <w:highlight w:val="none"/>
        </w:rPr>
        <w:t>【</w:t>
      </w:r>
      <w:r>
        <w:rPr>
          <w:rFonts w:hint="eastAsia"/>
          <w:color w:val="000000"/>
          <w:sz w:val="21"/>
          <w:szCs w:val="21"/>
          <w:highlight w:val="none"/>
          <w:lang w:eastAsia="zh-CN"/>
        </w:rPr>
        <w:t>新闻全媒体</w:t>
      </w:r>
      <w:r>
        <w:rPr>
          <w:rFonts w:hint="eastAsia"/>
          <w:color w:val="000000"/>
          <w:sz w:val="21"/>
          <w:szCs w:val="21"/>
          <w:highlight w:val="none"/>
          <w:lang w:val="en-US" w:eastAsia="zh-CN"/>
        </w:rPr>
        <w:t>B18-1、新闻全媒体B18-2</w:t>
      </w:r>
      <w:r>
        <w:rPr>
          <w:color w:val="000000"/>
          <w:sz w:val="21"/>
          <w:szCs w:val="21"/>
          <w:highlight w:val="none"/>
        </w:rPr>
        <w:t>】</w:t>
      </w:r>
    </w:p>
    <w:p>
      <w:pPr>
        <w:snapToGrid w:val="0"/>
        <w:spacing w:line="288" w:lineRule="auto"/>
        <w:ind w:firstLine="413" w:firstLineChars="196"/>
        <w:rPr>
          <w:color w:val="000000"/>
          <w:sz w:val="21"/>
          <w:szCs w:val="21"/>
          <w:highlight w:val="none"/>
        </w:rPr>
      </w:pPr>
      <w:r>
        <w:rPr>
          <w:b/>
          <w:bCs/>
          <w:color w:val="000000"/>
          <w:sz w:val="21"/>
          <w:szCs w:val="21"/>
          <w:highlight w:val="none"/>
        </w:rPr>
        <w:t>课程性质：</w:t>
      </w:r>
      <w:r>
        <w:rPr>
          <w:color w:val="000000"/>
          <w:sz w:val="21"/>
          <w:szCs w:val="21"/>
          <w:highlight w:val="none"/>
        </w:rPr>
        <w:t>【</w:t>
      </w:r>
      <w:r>
        <w:rPr>
          <w:rFonts w:hint="eastAsia"/>
          <w:color w:val="000000"/>
          <w:sz w:val="21"/>
          <w:szCs w:val="21"/>
          <w:highlight w:val="none"/>
        </w:rPr>
        <w:t>系级</w:t>
      </w:r>
      <w:r>
        <w:rPr>
          <w:rFonts w:hint="eastAsia"/>
          <w:color w:val="000000"/>
          <w:sz w:val="21"/>
          <w:szCs w:val="21"/>
          <w:highlight w:val="none"/>
          <w:lang w:eastAsia="zh-CN"/>
        </w:rPr>
        <w:t>专业课程</w:t>
      </w:r>
      <w:r>
        <w:rPr>
          <w:color w:val="000000"/>
          <w:sz w:val="21"/>
          <w:szCs w:val="21"/>
          <w:highlight w:val="none"/>
        </w:rPr>
        <w:t>】</w:t>
      </w:r>
    </w:p>
    <w:p>
      <w:pPr>
        <w:snapToGrid w:val="0"/>
        <w:spacing w:line="288" w:lineRule="auto"/>
        <w:ind w:firstLine="413" w:firstLineChars="196"/>
        <w:rPr>
          <w:b/>
          <w:bCs/>
          <w:color w:val="000000"/>
          <w:sz w:val="21"/>
          <w:szCs w:val="21"/>
          <w:highlight w:val="none"/>
        </w:rPr>
      </w:pPr>
      <w:r>
        <w:rPr>
          <w:b/>
          <w:bCs/>
          <w:color w:val="000000"/>
          <w:sz w:val="21"/>
          <w:szCs w:val="21"/>
          <w:highlight w:val="none"/>
        </w:rPr>
        <w:t>开课院系：</w:t>
      </w:r>
      <w:r>
        <w:rPr>
          <w:rFonts w:hint="eastAsia"/>
          <w:b/>
          <w:bCs/>
          <w:color w:val="000000"/>
          <w:sz w:val="21"/>
          <w:szCs w:val="21"/>
          <w:highlight w:val="none"/>
          <w:lang w:eastAsia="zh-CN"/>
        </w:rPr>
        <w:t>新闻传播学院新闻系</w:t>
      </w:r>
    </w:p>
    <w:p>
      <w:pPr>
        <w:snapToGrid w:val="0"/>
        <w:spacing w:line="288" w:lineRule="auto"/>
        <w:ind w:firstLine="413" w:firstLineChars="196"/>
        <w:rPr>
          <w:rFonts w:hint="default" w:eastAsia="宋体"/>
          <w:color w:val="000000"/>
          <w:sz w:val="21"/>
          <w:szCs w:val="21"/>
          <w:highlight w:val="none"/>
          <w:lang w:val="en-US" w:eastAsia="zh-CN"/>
        </w:rPr>
      </w:pPr>
      <w:r>
        <w:rPr>
          <w:b/>
          <w:bCs/>
          <w:color w:val="000000"/>
          <w:sz w:val="21"/>
          <w:szCs w:val="21"/>
          <w:highlight w:val="none"/>
        </w:rPr>
        <w:t>使用教材：</w:t>
      </w:r>
      <w:r>
        <w:rPr>
          <w:rFonts w:hint="eastAsia"/>
          <w:b w:val="0"/>
          <w:bCs w:val="0"/>
          <w:color w:val="000000"/>
          <w:sz w:val="21"/>
          <w:szCs w:val="21"/>
          <w:highlight w:val="none"/>
          <w:lang w:eastAsia="zh-CN"/>
        </w:rPr>
        <w:t>《数据新闻：操作与实践》毛良斌主编</w:t>
      </w:r>
      <w:r>
        <w:rPr>
          <w:rFonts w:hint="eastAsia"/>
          <w:b w:val="0"/>
          <w:bCs w:val="0"/>
          <w:color w:val="000000"/>
          <w:sz w:val="21"/>
          <w:szCs w:val="21"/>
          <w:highlight w:val="none"/>
          <w:lang w:val="en-US" w:eastAsia="zh-CN"/>
        </w:rPr>
        <w:t xml:space="preserve"> 浙江大学出版社 2019年8月第1版</w:t>
      </w:r>
    </w:p>
    <w:p>
      <w:pPr>
        <w:snapToGrid w:val="0"/>
        <w:spacing w:line="288" w:lineRule="auto"/>
        <w:ind w:firstLine="401"/>
        <w:rPr>
          <w:rFonts w:hint="eastAsia" w:ascii="宋体" w:hAnsi="宋体" w:eastAsia="宋体"/>
          <w:color w:val="000000"/>
          <w:sz w:val="21"/>
          <w:szCs w:val="21"/>
          <w:highlight w:val="none"/>
          <w:lang w:val="en-US" w:eastAsia="zh-CN"/>
        </w:rPr>
      </w:pPr>
      <w:r>
        <w:rPr>
          <w:rFonts w:ascii="宋体" w:hAnsi="宋体" w:eastAsia="宋体"/>
          <w:b/>
          <w:bCs/>
          <w:color w:val="000000"/>
          <w:sz w:val="21"/>
          <w:szCs w:val="21"/>
          <w:highlight w:val="none"/>
        </w:rPr>
        <w:t>参考</w:t>
      </w:r>
      <w:r>
        <w:rPr>
          <w:rFonts w:hint="eastAsia" w:ascii="宋体" w:hAnsi="宋体" w:eastAsia="宋体"/>
          <w:b/>
          <w:bCs/>
          <w:color w:val="000000"/>
          <w:sz w:val="21"/>
          <w:szCs w:val="21"/>
          <w:highlight w:val="none"/>
        </w:rPr>
        <w:t>书目</w:t>
      </w:r>
      <w:r>
        <w:rPr>
          <w:rFonts w:ascii="宋体" w:hAnsi="宋体" w:eastAsia="宋体"/>
          <w:color w:val="000000"/>
          <w:sz w:val="21"/>
          <w:szCs w:val="21"/>
          <w:highlight w:val="none"/>
        </w:rPr>
        <w:t>【</w:t>
      </w:r>
      <w:r>
        <w:rPr>
          <w:rFonts w:hint="eastAsia" w:ascii="宋体" w:hAnsi="宋体" w:eastAsia="宋体"/>
          <w:color w:val="000000"/>
          <w:sz w:val="21"/>
          <w:szCs w:val="21"/>
          <w:highlight w:val="none"/>
          <w:lang w:val="en-US" w:eastAsia="zh-CN"/>
        </w:rPr>
        <w:t xml:space="preserve">《数据新闻实战》刘英华著 电子工业出版社 2016年9月第1版 </w:t>
      </w:r>
    </w:p>
    <w:p>
      <w:pPr>
        <w:snapToGrid w:val="0"/>
        <w:spacing w:line="288" w:lineRule="auto"/>
        <w:ind w:firstLine="1470" w:firstLineChars="7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《数据新闻概论》</w:t>
      </w:r>
      <w:r>
        <w:rPr>
          <w:rFonts w:hint="eastAsia" w:ascii="宋体" w:hAnsi="宋体" w:eastAsia="宋体"/>
          <w:color w:val="000000"/>
          <w:sz w:val="21"/>
          <w:szCs w:val="21"/>
          <w:highlight w:val="none"/>
          <w:lang w:val="en-US" w:eastAsia="zh-CN"/>
        </w:rPr>
        <w:t>方洁编著 中国人民大学出版社 2015年6月第1版</w:t>
      </w:r>
    </w:p>
    <w:p>
      <w:pPr>
        <w:snapToGrid w:val="0"/>
        <w:spacing w:line="288" w:lineRule="auto"/>
        <w:ind w:firstLine="1470" w:firstLineChars="7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《数据新闻入门教程》</w:t>
      </w:r>
      <w:r>
        <w:rPr>
          <w:rFonts w:hint="eastAsia" w:ascii="宋体" w:hAnsi="宋体" w:eastAsia="宋体"/>
          <w:color w:val="000000"/>
          <w:sz w:val="21"/>
          <w:szCs w:val="21"/>
          <w:highlight w:val="none"/>
          <w:lang w:val="en-US" w:eastAsia="zh-CN"/>
        </w:rPr>
        <w:t xml:space="preserve">陈积银、曹树林主编 西安交通大学出版社 2016年8月第1版    </w:t>
      </w:r>
    </w:p>
    <w:p>
      <w:pPr>
        <w:snapToGrid w:val="0"/>
        <w:spacing w:line="288" w:lineRule="auto"/>
        <w:rPr>
          <w:rFonts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 xml:space="preserve"> </w:t>
      </w:r>
      <w:r>
        <w:rPr>
          <w:rFonts w:hint="eastAsia" w:ascii="宋体" w:hAnsi="宋体"/>
          <w:color w:val="000000"/>
          <w:sz w:val="21"/>
          <w:szCs w:val="21"/>
          <w:highlight w:val="none"/>
          <w:lang w:val="en-US" w:eastAsia="zh-CN"/>
        </w:rPr>
        <w:t xml:space="preserve">             </w:t>
      </w:r>
      <w:r>
        <w:rPr>
          <w:rFonts w:hint="eastAsia" w:ascii="宋体" w:hAnsi="宋体" w:eastAsia="宋体"/>
          <w:color w:val="000000"/>
          <w:sz w:val="21"/>
          <w:szCs w:val="21"/>
          <w:highlight w:val="none"/>
          <w:lang w:val="en-US" w:eastAsia="zh-CN"/>
        </w:rPr>
        <w:t>《信息图表编辑》许向东著 中国人民大学出版社 2015年7月第1版</w:t>
      </w:r>
      <w:r>
        <w:rPr>
          <w:rFonts w:ascii="宋体" w:hAnsi="宋体" w:eastAsia="宋体"/>
          <w:color w:val="000000"/>
          <w:sz w:val="21"/>
          <w:szCs w:val="21"/>
          <w:highlight w:val="none"/>
        </w:rPr>
        <w:t>】</w:t>
      </w:r>
    </w:p>
    <w:p>
      <w:pPr>
        <w:snapToGrid w:val="0"/>
        <w:spacing w:line="288" w:lineRule="auto"/>
        <w:ind w:firstLine="413" w:firstLineChars="196"/>
        <w:rPr>
          <w:rFonts w:hint="eastAsia"/>
          <w:b/>
          <w:bCs/>
          <w:color w:val="000000"/>
          <w:sz w:val="21"/>
          <w:szCs w:val="21"/>
          <w:highlight w:val="none"/>
        </w:rPr>
      </w:pPr>
      <w:r>
        <w:rPr>
          <w:rFonts w:hint="eastAsia"/>
          <w:b/>
          <w:bCs/>
          <w:color w:val="000000"/>
          <w:sz w:val="21"/>
          <w:szCs w:val="21"/>
          <w:highlight w:val="none"/>
        </w:rPr>
        <w:t>课程网站网址：</w:t>
      </w:r>
    </w:p>
    <w:p>
      <w:pPr>
        <w:snapToGrid w:val="0"/>
        <w:spacing w:line="288" w:lineRule="auto"/>
        <w:ind w:firstLine="420" w:firstLineChars="200"/>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https://elearning.gench.edu.cn:8443/webapps/discussionboard/do/conference?toggle_mode=edit&amp;action=list_forums&amp;course_id=_18050_1&amp;nav=discussion_board_entry&amp;mode=cpview</w:t>
      </w:r>
    </w:p>
    <w:p>
      <w:pPr>
        <w:adjustRightInd w:val="0"/>
        <w:snapToGrid w:val="0"/>
        <w:spacing w:line="288" w:lineRule="auto"/>
        <w:ind w:firstLine="413" w:firstLineChars="196"/>
        <w:rPr>
          <w:color w:val="000000"/>
          <w:sz w:val="21"/>
          <w:szCs w:val="21"/>
          <w:highlight w:val="none"/>
        </w:rPr>
      </w:pPr>
      <w:r>
        <w:rPr>
          <w:b/>
          <w:bCs/>
          <w:color w:val="000000"/>
          <w:sz w:val="21"/>
          <w:szCs w:val="21"/>
          <w:highlight w:val="none"/>
        </w:rPr>
        <w:t>先修课程：</w:t>
      </w:r>
      <w:r>
        <w:rPr>
          <w:color w:val="000000"/>
          <w:sz w:val="21"/>
          <w:szCs w:val="21"/>
          <w:highlight w:val="none"/>
        </w:rPr>
        <w:t>【</w:t>
      </w:r>
      <w:r>
        <w:rPr>
          <w:rFonts w:hint="eastAsia"/>
          <w:color w:val="000000"/>
          <w:sz w:val="21"/>
          <w:szCs w:val="21"/>
          <w:highlight w:val="none"/>
          <w:lang w:eastAsia="zh-CN"/>
        </w:rPr>
        <w:t>新闻学概论2030198（</w:t>
      </w:r>
      <w:r>
        <w:rPr>
          <w:rFonts w:hint="eastAsia"/>
          <w:color w:val="000000"/>
          <w:sz w:val="21"/>
          <w:szCs w:val="21"/>
          <w:highlight w:val="none"/>
          <w:lang w:val="en-US" w:eastAsia="zh-CN"/>
        </w:rPr>
        <w:t>2</w:t>
      </w:r>
      <w:r>
        <w:rPr>
          <w:rFonts w:hint="eastAsia"/>
          <w:color w:val="000000"/>
          <w:sz w:val="21"/>
          <w:szCs w:val="21"/>
          <w:highlight w:val="none"/>
          <w:lang w:eastAsia="zh-CN"/>
        </w:rPr>
        <w:t>、</w:t>
      </w:r>
      <w:r>
        <w:rPr>
          <w:rFonts w:hint="eastAsia"/>
          <w:color w:val="000000"/>
          <w:sz w:val="21"/>
          <w:szCs w:val="21"/>
          <w:highlight w:val="none"/>
          <w:lang w:val="en-US" w:eastAsia="zh-CN"/>
        </w:rPr>
        <w:t>新闻采访与写作1 2030213（2）、新闻采访与写作2 2030214（2）</w:t>
      </w:r>
      <w:r>
        <w:rPr>
          <w:color w:val="000000"/>
          <w:sz w:val="21"/>
          <w:szCs w:val="21"/>
          <w:highlight w:val="none"/>
        </w:rPr>
        <w:t>】</w:t>
      </w:r>
    </w:p>
    <w:p>
      <w:pPr>
        <w:adjustRightInd w:val="0"/>
        <w:snapToGrid w:val="0"/>
        <w:spacing w:line="288" w:lineRule="auto"/>
        <w:ind w:firstLine="411" w:firstLineChars="196"/>
        <w:rPr>
          <w:color w:val="000000"/>
          <w:sz w:val="21"/>
          <w:szCs w:val="21"/>
          <w:highlight w:val="none"/>
        </w:rPr>
      </w:pPr>
    </w:p>
    <w:p>
      <w:pPr>
        <w:adjustRightInd w:val="0"/>
        <w:snapToGrid w:val="0"/>
        <w:spacing w:beforeLines="50" w:afterLines="50" w:line="288" w:lineRule="auto"/>
        <w:ind w:firstLine="348" w:firstLineChars="145"/>
        <w:rPr>
          <w:b/>
          <w:color w:val="000000"/>
          <w:sz w:val="24"/>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课程简介（必填项）</w:t>
      </w:r>
    </w:p>
    <w:p>
      <w:pPr>
        <w:snapToGrid w:val="0"/>
        <w:spacing w:line="360" w:lineRule="auto"/>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信息化时代和大数据浪潮使社会和企业对新闻学专业的学生要求不仅会采访写稿，还应掌握一定的数据挖掘和数据分析的能力，并掌握一定的数据可视化能力。因此，本课程通过数据新闻概述、数据收集方法、数据处理与分析方法、数据可视化报道呈现等知识与技能，培养学生数据新闻选题的敏感性和处理能力，独立完成数据新闻制作的全过程。</w:t>
      </w:r>
    </w:p>
    <w:p>
      <w:pPr>
        <w:snapToGrid w:val="0"/>
        <w:spacing w:line="360" w:lineRule="auto"/>
        <w:ind w:firstLine="420" w:firstLineChars="200"/>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本课程教学需培养以下四方面能力：培养学生能用图形叙事的意识；建立学生对数据信息描述的逻辑；训练学生发散性思维的能力；提高学生数据信息整合和图形设计的综合能力。课程通过项目制教学方法，指导学生进行数据新闻选题，勾画草图，进行PPT选题汇报，确定选题和数据新闻的逻辑关系，最终以信息图形式在微信公众号发表数据新闻作品。</w:t>
      </w:r>
    </w:p>
    <w:p>
      <w:pPr>
        <w:snapToGrid w:val="0"/>
        <w:spacing w:line="288" w:lineRule="auto"/>
        <w:ind w:firstLine="400" w:firstLineChars="200"/>
        <w:rPr>
          <w:color w:val="000000"/>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选课建议（必填项）</w:t>
      </w:r>
    </w:p>
    <w:p>
      <w:pPr>
        <w:snapToGrid w:val="0"/>
        <w:spacing w:line="288" w:lineRule="auto"/>
        <w:ind w:firstLine="420" w:firstLineChars="200"/>
        <w:rPr>
          <w:rFonts w:hint="eastAsia" w:eastAsiaTheme="minorEastAsia"/>
          <w:color w:val="000000"/>
          <w:sz w:val="21"/>
          <w:szCs w:val="21"/>
          <w:highlight w:val="none"/>
          <w:lang w:eastAsia="zh-CN"/>
        </w:rPr>
      </w:pPr>
      <w:r>
        <w:rPr>
          <w:rFonts w:hint="eastAsia"/>
          <w:color w:val="000000"/>
          <w:sz w:val="21"/>
          <w:szCs w:val="21"/>
          <w:highlight w:val="none"/>
          <w:lang w:eastAsia="zh-CN"/>
        </w:rPr>
        <w:t>本课程适合有一定的新闻学基础知识、新闻采访与写作知识与技能的新闻学本科三年级学生。</w:t>
      </w:r>
    </w:p>
    <w:p>
      <w:pPr>
        <w:widowControl/>
        <w:spacing w:beforeLines="50" w:afterLines="50" w:line="288" w:lineRule="auto"/>
        <w:ind w:firstLine="360" w:firstLineChars="150"/>
        <w:jc w:val="left"/>
        <w:rPr>
          <w:rFonts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的关联性（必填项）</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1"/>
                <w:szCs w:val="21"/>
                <w:highlight w:val="none"/>
              </w:rPr>
            </w:pPr>
            <w:r>
              <w:rPr>
                <w:rFonts w:hint="eastAsia" w:ascii="黑体" w:hAnsi="黑体" w:eastAsia="黑体" w:cs="黑体"/>
                <w:kern w:val="0"/>
                <w:sz w:val="21"/>
                <w:szCs w:val="21"/>
                <w:highlight w:val="none"/>
              </w:rPr>
              <w:t>专业毕业要求</w:t>
            </w:r>
          </w:p>
        </w:tc>
        <w:tc>
          <w:tcPr>
            <w:tcW w:w="727" w:type="dxa"/>
          </w:tcPr>
          <w:p>
            <w:pPr>
              <w:jc w:val="center"/>
              <w:rPr>
                <w:rFonts w:ascii="黑体" w:hAnsi="黑体" w:eastAsia="黑体" w:cs="黑体"/>
                <w:kern w:val="0"/>
                <w:sz w:val="21"/>
                <w:szCs w:val="21"/>
                <w:highlight w:val="none"/>
              </w:rPr>
            </w:pPr>
            <w:r>
              <w:rPr>
                <w:rFonts w:hint="eastAsia" w:ascii="黑体" w:hAnsi="黑体" w:eastAsia="黑体" w:cs="黑体"/>
                <w:kern w:val="0"/>
                <w:sz w:val="21"/>
                <w:szCs w:val="21"/>
                <w:highlight w:val="none"/>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1"/>
                <w:szCs w:val="21"/>
                <w:highlight w:val="none"/>
              </w:rPr>
            </w:pPr>
            <w:r>
              <w:rPr>
                <w:rFonts w:hint="eastAsia" w:ascii="仿宋" w:hAnsi="仿宋" w:eastAsia="仿宋" w:cs="宋体"/>
                <w:color w:val="000000"/>
                <w:kern w:val="0"/>
                <w:sz w:val="21"/>
                <w:szCs w:val="21"/>
                <w:highlight w:val="none"/>
              </w:rPr>
              <w:t>LO11：（此处请填写各专业的毕业要求）</w:t>
            </w:r>
          </w:p>
        </w:tc>
        <w:tc>
          <w:tcPr>
            <w:tcW w:w="727" w:type="dxa"/>
            <w:vAlign w:val="center"/>
          </w:tcPr>
          <w:p>
            <w:pPr>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LO21：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LO31：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LO32：</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hint="eastAsia"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LO33：LO331熟悉传统的新闻体例，并能与时俱进地应用新媒体写作方式。</w:t>
            </w:r>
          </w:p>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LO332进行有传播价值的文稿写作</w:t>
            </w:r>
            <w:r>
              <w:rPr>
                <w:rFonts w:hint="eastAsia" w:ascii="仿宋" w:hAnsi="仿宋" w:eastAsia="仿宋" w:cs="宋体"/>
                <w:color w:val="000000"/>
                <w:kern w:val="0"/>
                <w:sz w:val="21"/>
                <w:szCs w:val="21"/>
                <w:highlight w:val="none"/>
                <w:lang w:eastAsia="zh-CN"/>
              </w:rPr>
              <w:t>。</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LO34：</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LO35：L0351熟悉传统媒介并关注新媒介与时俱进的新变化。L0352娴熟掌握至少两种传播媒介应用技能。</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1"/>
                <w:szCs w:val="21"/>
                <w:highlight w:val="none"/>
              </w:rPr>
            </w:pPr>
            <w:r>
              <w:rPr>
                <w:rFonts w:hint="eastAsia" w:ascii="仿宋" w:hAnsi="仿宋" w:eastAsia="仿宋" w:cs="宋体"/>
                <w:color w:val="000000"/>
                <w:kern w:val="0"/>
                <w:sz w:val="21"/>
                <w:szCs w:val="21"/>
                <w:highlight w:val="none"/>
              </w:rPr>
              <w:t>LO36：</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LO41：LO414身心健康，能承受学习和生活中的压力。</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LO51：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LO61：LO613能把现代信息技术融入到新闻宣传工作各个环节。</w:t>
            </w:r>
          </w:p>
        </w:tc>
        <w:tc>
          <w:tcPr>
            <w:tcW w:w="727" w:type="dxa"/>
            <w:vAlign w:val="center"/>
          </w:tcPr>
          <w:p>
            <w:pPr>
              <w:widowControl/>
              <w:jc w:val="center"/>
              <w:rPr>
                <w:rFonts w:ascii="仿宋" w:hAnsi="仿宋" w:eastAsia="仿宋" w:cs="宋体"/>
                <w:color w:val="000000"/>
                <w:kern w:val="0"/>
                <w:sz w:val="21"/>
                <w:szCs w:val="21"/>
                <w:highlight w:val="none"/>
              </w:rPr>
            </w:pPr>
            <w:r>
              <w:rPr>
                <w:color w:val="000000"/>
                <w:kern w:val="0"/>
                <w:sz w:val="21"/>
                <w:szCs w:val="21"/>
                <w:highlight w:val="none"/>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LO71：</w:t>
            </w:r>
          </w:p>
        </w:tc>
        <w:tc>
          <w:tcPr>
            <w:tcW w:w="727" w:type="dxa"/>
            <w:vAlign w:val="center"/>
          </w:tcPr>
          <w:p>
            <w:pPr>
              <w:widowControl/>
              <w:jc w:val="center"/>
              <w:rPr>
                <w:rFonts w:ascii="仿宋" w:hAnsi="仿宋" w:eastAsia="仿宋"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1"/>
                <w:szCs w:val="21"/>
                <w:highlight w:val="none"/>
              </w:rPr>
            </w:pPr>
            <w:r>
              <w:rPr>
                <w:rFonts w:hint="eastAsia" w:ascii="仿宋" w:hAnsi="仿宋" w:eastAsia="仿宋" w:cs="宋体"/>
                <w:color w:val="000000"/>
                <w:kern w:val="0"/>
                <w:sz w:val="21"/>
                <w:szCs w:val="21"/>
                <w:highlight w:val="none"/>
              </w:rPr>
              <w:t>LO81：</w:t>
            </w:r>
          </w:p>
        </w:tc>
        <w:tc>
          <w:tcPr>
            <w:tcW w:w="727" w:type="dxa"/>
            <w:vAlign w:val="center"/>
          </w:tcPr>
          <w:p>
            <w:pPr>
              <w:widowControl/>
              <w:jc w:val="center"/>
              <w:rPr>
                <w:rFonts w:ascii="仿宋" w:hAnsi="仿宋" w:eastAsia="仿宋" w:cs="宋体"/>
                <w:color w:val="000000"/>
                <w:kern w:val="0"/>
                <w:sz w:val="21"/>
                <w:szCs w:val="21"/>
                <w:highlight w:val="none"/>
              </w:rPr>
            </w:pPr>
          </w:p>
        </w:tc>
      </w:tr>
    </w:tbl>
    <w:p>
      <w:pPr>
        <w:ind w:firstLine="420" w:firstLineChars="200"/>
        <w:rPr>
          <w:highlight w:val="none"/>
        </w:rPr>
      </w:pPr>
      <w:r>
        <w:rPr>
          <w:rFonts w:hint="eastAsia"/>
          <w:highlight w:val="none"/>
        </w:rPr>
        <w:t>备注：LO=</w:t>
      </w:r>
      <w:r>
        <w:rPr>
          <w:highlight w:val="none"/>
        </w:rPr>
        <w:t>learning outcomes</w:t>
      </w:r>
      <w:r>
        <w:rPr>
          <w:rFonts w:hint="eastAsia"/>
          <w:highlight w:val="none"/>
        </w:rPr>
        <w:t>（学习成果）</w:t>
      </w:r>
    </w:p>
    <w:p>
      <w:pPr>
        <w:rPr>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r>
        <w:rPr>
          <w:rFonts w:ascii="黑体" w:hAnsi="宋体" w:eastAsia="黑体"/>
          <w:sz w:val="24"/>
          <w:highlight w:val="none"/>
        </w:rPr>
        <w:t>（必填项）（</w:t>
      </w:r>
      <w:r>
        <w:rPr>
          <w:rFonts w:hint="eastAsia" w:ascii="黑体" w:hAnsi="宋体" w:eastAsia="黑体"/>
          <w:sz w:val="24"/>
          <w:highlight w:val="none"/>
        </w:rPr>
        <w:t>预期学习成果</w:t>
      </w:r>
      <w:r>
        <w:rPr>
          <w:rFonts w:ascii="黑体" w:hAnsi="宋体" w:eastAsia="黑体"/>
          <w:sz w:val="24"/>
          <w:highlight w:val="none"/>
        </w:rPr>
        <w:t>要可测量/能够证明）</w:t>
      </w:r>
    </w:p>
    <w:tbl>
      <w:tblPr>
        <w:tblStyle w:val="4"/>
        <w:tblpPr w:leftFromText="180" w:rightFromText="180" w:vertAnchor="text" w:horzAnchor="page" w:tblpX="2037" w:tblpY="272"/>
        <w:tblOverlap w:val="never"/>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55"/>
        <w:gridCol w:w="328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序号</w:t>
            </w:r>
          </w:p>
        </w:tc>
        <w:tc>
          <w:tcPr>
            <w:tcW w:w="2555" w:type="dxa"/>
            <w:shd w:val="clear" w:color="auto" w:fill="auto"/>
          </w:tcPr>
          <w:p>
            <w:pPr>
              <w:snapToGrid w:val="0"/>
              <w:spacing w:line="288" w:lineRule="auto"/>
              <w:jc w:val="center"/>
              <w:rPr>
                <w:b/>
                <w:color w:val="000000"/>
                <w:sz w:val="21"/>
                <w:szCs w:val="21"/>
                <w:highlight w:val="none"/>
              </w:rPr>
            </w:pPr>
            <w:r>
              <w:rPr>
                <w:rFonts w:hint="eastAsia"/>
                <w:b/>
                <w:color w:val="000000"/>
                <w:sz w:val="21"/>
                <w:szCs w:val="21"/>
                <w:highlight w:val="none"/>
              </w:rPr>
              <w:t>课程预期学习成果</w:t>
            </w:r>
          </w:p>
        </w:tc>
        <w:tc>
          <w:tcPr>
            <w:tcW w:w="3289"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教与学方式</w:t>
            </w:r>
          </w:p>
        </w:tc>
        <w:tc>
          <w:tcPr>
            <w:tcW w:w="1673" w:type="dxa"/>
            <w:shd w:val="clear" w:color="auto" w:fill="auto"/>
            <w:vAlign w:val="center"/>
          </w:tcPr>
          <w:p>
            <w:pPr>
              <w:snapToGrid w:val="0"/>
              <w:spacing w:line="288" w:lineRule="auto"/>
              <w:jc w:val="center"/>
              <w:rPr>
                <w:b/>
                <w:color w:val="000000"/>
                <w:sz w:val="21"/>
                <w:szCs w:val="21"/>
                <w:highlight w:val="none"/>
              </w:rPr>
            </w:pPr>
            <w:r>
              <w:rPr>
                <w:rFonts w:hint="eastAsia"/>
                <w:b/>
                <w:color w:val="000000"/>
                <w:sz w:val="21"/>
                <w:szCs w:val="21"/>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1</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熟悉传统的新闻体例，并能与时俱进地应用新媒体写作方式</w:t>
            </w:r>
          </w:p>
        </w:tc>
        <w:tc>
          <w:tcPr>
            <w:tcW w:w="3289"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数据新闻选题、小组讨论</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2</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进行有传播价值的文稿写作</w:t>
            </w:r>
          </w:p>
        </w:tc>
        <w:tc>
          <w:tcPr>
            <w:tcW w:w="3289"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案例讲解、小组讨论</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3</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熟悉传统媒介并关注新媒介与时俱进的新变化</w:t>
            </w:r>
          </w:p>
        </w:tc>
        <w:tc>
          <w:tcPr>
            <w:tcW w:w="3289"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课外阅读资料（书刊、论文、新闻报道）</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4</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娴熟掌握至少两种传播媒介应用技能</w:t>
            </w:r>
          </w:p>
        </w:tc>
        <w:tc>
          <w:tcPr>
            <w:tcW w:w="3289"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讲授、练习</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5</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身心健康，能承受学习和生活中的压力</w:t>
            </w:r>
          </w:p>
        </w:tc>
        <w:tc>
          <w:tcPr>
            <w:tcW w:w="3289"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小组根据时间节点准时完成数据新闻作品的每个流程</w:t>
            </w:r>
          </w:p>
        </w:tc>
        <w:tc>
          <w:tcPr>
            <w:tcW w:w="1673" w:type="dxa"/>
            <w:shd w:val="clear" w:color="auto" w:fill="auto"/>
            <w:vAlign w:val="center"/>
          </w:tcPr>
          <w:p>
            <w:pPr>
              <w:snapToGrid w:val="0"/>
              <w:spacing w:line="288" w:lineRule="auto"/>
              <w:jc w:val="center"/>
              <w:rPr>
                <w:rFonts w:hint="eastAsia" w:eastAsiaTheme="minorEastAsia"/>
                <w:color w:val="000000"/>
                <w:sz w:val="21"/>
                <w:szCs w:val="21"/>
                <w:highlight w:val="none"/>
                <w:lang w:eastAsia="zh-CN"/>
              </w:rPr>
            </w:pPr>
            <w:r>
              <w:rPr>
                <w:rFonts w:hint="eastAsia"/>
                <w:color w:val="000000"/>
                <w:sz w:val="21"/>
                <w:szCs w:val="21"/>
                <w:highlight w:val="none"/>
                <w:lang w:eastAsia="zh-CN"/>
              </w:rPr>
              <w:t>数据新闻作品、口头报告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auto"/>
            <w:vAlign w:val="center"/>
          </w:tcPr>
          <w:p>
            <w:pPr>
              <w:snapToGrid w:val="0"/>
              <w:spacing w:line="288" w:lineRule="auto"/>
              <w:jc w:val="center"/>
              <w:rPr>
                <w:rFonts w:ascii="黑体" w:hAnsi="宋体" w:eastAsia="黑体"/>
                <w:sz w:val="21"/>
                <w:szCs w:val="21"/>
                <w:highlight w:val="none"/>
              </w:rPr>
            </w:pPr>
            <w:r>
              <w:rPr>
                <w:rFonts w:hint="eastAsia" w:ascii="黑体" w:hAnsi="宋体" w:eastAsia="黑体"/>
                <w:sz w:val="21"/>
                <w:szCs w:val="21"/>
                <w:highlight w:val="none"/>
              </w:rPr>
              <w:t>6</w:t>
            </w:r>
          </w:p>
        </w:tc>
        <w:tc>
          <w:tcPr>
            <w:tcW w:w="2555" w:type="dxa"/>
            <w:shd w:val="clear" w:color="auto" w:fill="auto"/>
            <w:vAlign w:val="center"/>
          </w:tcPr>
          <w:p>
            <w:pPr>
              <w:snapToGrid w:val="0"/>
              <w:spacing w:line="288" w:lineRule="auto"/>
              <w:jc w:val="both"/>
              <w:rPr>
                <w:color w:val="000000"/>
                <w:sz w:val="21"/>
                <w:szCs w:val="21"/>
                <w:highlight w:val="none"/>
              </w:rPr>
            </w:pPr>
            <w:r>
              <w:rPr>
                <w:rFonts w:hint="eastAsia"/>
                <w:color w:val="000000"/>
                <w:sz w:val="21"/>
                <w:szCs w:val="21"/>
                <w:highlight w:val="none"/>
              </w:rPr>
              <w:t>能把现代信息技术融入到新闻宣传工作各个环节</w:t>
            </w:r>
          </w:p>
        </w:tc>
        <w:tc>
          <w:tcPr>
            <w:tcW w:w="3289"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作品分享与推介</w:t>
            </w:r>
          </w:p>
        </w:tc>
        <w:tc>
          <w:tcPr>
            <w:tcW w:w="1673" w:type="dxa"/>
            <w:shd w:val="clear" w:color="auto" w:fill="auto"/>
            <w:vAlign w:val="center"/>
          </w:tcPr>
          <w:p>
            <w:pPr>
              <w:snapToGrid w:val="0"/>
              <w:spacing w:line="288" w:lineRule="auto"/>
              <w:jc w:val="center"/>
              <w:rPr>
                <w:rFonts w:hint="eastAsia"/>
                <w:color w:val="000000"/>
                <w:sz w:val="21"/>
                <w:szCs w:val="21"/>
                <w:highlight w:val="none"/>
                <w:lang w:eastAsia="zh-CN"/>
              </w:rPr>
            </w:pPr>
            <w:r>
              <w:rPr>
                <w:rFonts w:hint="eastAsia"/>
                <w:color w:val="000000"/>
                <w:sz w:val="21"/>
                <w:szCs w:val="21"/>
                <w:highlight w:val="none"/>
                <w:lang w:eastAsia="zh-CN"/>
              </w:rPr>
              <w:t>参加学院数据新闻大赛</w:t>
            </w:r>
          </w:p>
        </w:tc>
      </w:tr>
    </w:tbl>
    <w:p>
      <w:pPr>
        <w:widowControl/>
        <w:spacing w:beforeLines="50" w:afterLines="50" w:line="288" w:lineRule="auto"/>
        <w:jc w:val="left"/>
        <w:rPr>
          <w:rFonts w:hint="eastAsia" w:ascii="黑体" w:hAnsi="宋体" w:eastAsia="黑体"/>
          <w:sz w:val="24"/>
          <w:highlight w:val="none"/>
        </w:rPr>
      </w:pPr>
    </w:p>
    <w:p>
      <w:pPr>
        <w:widowControl/>
        <w:spacing w:beforeLines="50" w:afterLines="50" w:line="288" w:lineRule="auto"/>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课程内容（必填项）</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28"/>
        <w:gridCol w:w="1612"/>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snapToGrid w:val="0"/>
              <w:spacing w:line="288" w:lineRule="auto"/>
              <w:jc w:val="center"/>
              <w:rPr>
                <w:rFonts w:hint="eastAsia" w:ascii="宋体" w:hAnsi="宋体" w:eastAsiaTheme="minorEastAsia"/>
                <w:b/>
                <w:bCs/>
                <w:sz w:val="21"/>
                <w:szCs w:val="21"/>
                <w:highlight w:val="none"/>
                <w:vertAlign w:val="baseline"/>
                <w:lang w:val="en-US" w:eastAsia="zh-CN"/>
              </w:rPr>
            </w:pPr>
            <w:r>
              <w:rPr>
                <w:rFonts w:hint="eastAsia" w:ascii="宋体" w:hAnsi="宋体"/>
                <w:b/>
                <w:bCs/>
                <w:sz w:val="21"/>
                <w:szCs w:val="21"/>
                <w:highlight w:val="none"/>
                <w:vertAlign w:val="baseline"/>
                <w:lang w:val="en-US" w:eastAsia="zh-CN"/>
              </w:rPr>
              <w:t>单元及课时</w:t>
            </w:r>
          </w:p>
        </w:tc>
        <w:tc>
          <w:tcPr>
            <w:tcW w:w="1228"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工作任务</w:t>
            </w:r>
          </w:p>
        </w:tc>
        <w:tc>
          <w:tcPr>
            <w:tcW w:w="1612"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技能要求</w:t>
            </w:r>
          </w:p>
        </w:tc>
        <w:tc>
          <w:tcPr>
            <w:tcW w:w="1420"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知识要求</w:t>
            </w:r>
          </w:p>
        </w:tc>
        <w:tc>
          <w:tcPr>
            <w:tcW w:w="1421"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项目（综合运用）</w:t>
            </w:r>
          </w:p>
        </w:tc>
        <w:tc>
          <w:tcPr>
            <w:tcW w:w="1421" w:type="dxa"/>
            <w:vAlign w:val="center"/>
          </w:tcPr>
          <w:p>
            <w:pPr>
              <w:snapToGrid w:val="0"/>
              <w:spacing w:line="288" w:lineRule="auto"/>
              <w:jc w:val="center"/>
              <w:rPr>
                <w:rFonts w:hint="eastAsia" w:ascii="宋体" w:hAnsi="宋体" w:eastAsiaTheme="minorEastAsia"/>
                <w:b/>
                <w:bCs/>
                <w:sz w:val="21"/>
                <w:szCs w:val="21"/>
                <w:highlight w:val="none"/>
                <w:vertAlign w:val="baseline"/>
                <w:lang w:eastAsia="zh-CN"/>
              </w:rPr>
            </w:pPr>
            <w:r>
              <w:rPr>
                <w:rFonts w:hint="eastAsia" w:ascii="宋体" w:hAnsi="宋体"/>
                <w:b/>
                <w:bCs/>
                <w:sz w:val="21"/>
                <w:szCs w:val="21"/>
                <w:highlight w:val="none"/>
                <w:vertAlign w:val="baseline"/>
                <w:lang w:eastAsia="zh-CN"/>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1"/>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讲解与案例分析</w:t>
            </w:r>
          </w:p>
          <w:p>
            <w:pPr>
              <w:numPr>
                <w:ilvl w:val="0"/>
                <w:numId w:val="0"/>
              </w:numPr>
              <w:snapToGrid w:val="0"/>
              <w:spacing w:line="288" w:lineRule="auto"/>
              <w:jc w:val="center"/>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24课时</w:t>
            </w:r>
          </w:p>
        </w:tc>
        <w:tc>
          <w:tcPr>
            <w:tcW w:w="1228"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eastAsiaTheme="minorEastAsia"/>
                <w:sz w:val="21"/>
                <w:szCs w:val="21"/>
                <w:highlight w:val="none"/>
                <w:vertAlign w:val="baseline"/>
                <w:lang w:eastAsia="zh-CN"/>
              </w:rPr>
              <w:t>介绍数据新闻这一新型的新闻报道形态以及独立完成数据新闻制作的过程</w:t>
            </w:r>
          </w:p>
        </w:tc>
        <w:tc>
          <w:tcPr>
            <w:tcW w:w="1612" w:type="dxa"/>
            <w:vAlign w:val="center"/>
          </w:tcPr>
          <w:p>
            <w:pPr>
              <w:numPr>
                <w:ilvl w:val="0"/>
                <w:numId w:val="2"/>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掌握公开发表数据的搜集与未公开发表数据的采集方法；</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能运用</w:t>
            </w:r>
            <w:r>
              <w:rPr>
                <w:rFonts w:hint="eastAsia" w:ascii="宋体" w:hAnsi="宋体"/>
                <w:sz w:val="21"/>
                <w:szCs w:val="21"/>
                <w:highlight w:val="none"/>
                <w:vertAlign w:val="baseline"/>
              </w:rPr>
              <w:t>SPSS统计</w:t>
            </w:r>
            <w:r>
              <w:rPr>
                <w:rFonts w:hint="eastAsia" w:ascii="宋体" w:hAnsi="宋体"/>
                <w:sz w:val="21"/>
                <w:szCs w:val="21"/>
                <w:highlight w:val="none"/>
                <w:vertAlign w:val="baseline"/>
                <w:lang w:eastAsia="zh-CN"/>
              </w:rPr>
              <w:t>软件对数据进行清理与分析；</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能综合获取的数据资料构思新闻报道；</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rPr>
              <w:t>掌握信息图表的设计和制作</w:t>
            </w:r>
            <w:r>
              <w:rPr>
                <w:rFonts w:hint="eastAsia" w:ascii="宋体" w:hAnsi="宋体"/>
                <w:sz w:val="21"/>
                <w:szCs w:val="21"/>
                <w:highlight w:val="none"/>
                <w:vertAlign w:val="baseline"/>
                <w:lang w:eastAsia="zh-CN"/>
              </w:rPr>
              <w:t>；</w:t>
            </w:r>
          </w:p>
          <w:p>
            <w:pPr>
              <w:numPr>
                <w:ilvl w:val="0"/>
                <w:numId w:val="2"/>
              </w:numPr>
              <w:snapToGrid w:val="0"/>
              <w:spacing w:line="288" w:lineRule="auto"/>
              <w:jc w:val="both"/>
              <w:rPr>
                <w:rFonts w:hint="eastAsia" w:ascii="宋体" w:hAnsi="宋体"/>
                <w:sz w:val="21"/>
                <w:szCs w:val="21"/>
                <w:highlight w:val="none"/>
                <w:vertAlign w:val="baseline"/>
              </w:rPr>
            </w:pPr>
            <w:r>
              <w:rPr>
                <w:rFonts w:hint="eastAsia" w:ascii="宋体" w:hAnsi="宋体"/>
                <w:sz w:val="21"/>
                <w:szCs w:val="21"/>
                <w:highlight w:val="none"/>
                <w:vertAlign w:val="baseline"/>
                <w:lang w:eastAsia="zh-CN"/>
              </w:rPr>
              <w:t>掌握</w:t>
            </w:r>
            <w:r>
              <w:rPr>
                <w:rFonts w:hint="eastAsia" w:ascii="宋体" w:hAnsi="宋体"/>
                <w:sz w:val="21"/>
                <w:szCs w:val="21"/>
                <w:highlight w:val="none"/>
                <w:vertAlign w:val="baseline"/>
                <w:lang w:val="en-US" w:eastAsia="zh-CN"/>
              </w:rPr>
              <w:t>Tableau数据可视化操作。</w:t>
            </w:r>
          </w:p>
          <w:p>
            <w:pPr>
              <w:numPr>
                <w:ilvl w:val="0"/>
                <w:numId w:val="0"/>
              </w:numPr>
              <w:snapToGrid w:val="0"/>
              <w:spacing w:line="288" w:lineRule="auto"/>
              <w:jc w:val="both"/>
              <w:rPr>
                <w:rFonts w:hint="eastAsia" w:ascii="宋体" w:hAnsi="宋体"/>
                <w:sz w:val="21"/>
                <w:szCs w:val="21"/>
                <w:highlight w:val="none"/>
                <w:vertAlign w:val="baseline"/>
              </w:rPr>
            </w:pPr>
          </w:p>
          <w:p>
            <w:pPr>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重点与难点：（</w:t>
            </w:r>
            <w:r>
              <w:rPr>
                <w:rFonts w:hint="eastAsia" w:ascii="宋体" w:hAnsi="宋体"/>
                <w:sz w:val="21"/>
                <w:szCs w:val="21"/>
                <w:highlight w:val="none"/>
                <w:vertAlign w:val="baseline"/>
                <w:lang w:val="en-US" w:eastAsia="zh-CN"/>
              </w:rPr>
              <w:t>1</w:t>
            </w:r>
            <w:r>
              <w:rPr>
                <w:rFonts w:hint="eastAsia" w:ascii="宋体" w:hAnsi="宋体"/>
                <w:sz w:val="21"/>
                <w:szCs w:val="21"/>
                <w:highlight w:val="none"/>
                <w:vertAlign w:val="baseline"/>
                <w:lang w:eastAsia="zh-CN"/>
              </w:rPr>
              <w:t>）掌握数据分析的能力；</w:t>
            </w:r>
          </w:p>
          <w:p>
            <w:pPr>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2</w:t>
            </w:r>
            <w:r>
              <w:rPr>
                <w:rFonts w:hint="eastAsia" w:ascii="宋体" w:hAnsi="宋体"/>
                <w:sz w:val="21"/>
                <w:szCs w:val="21"/>
                <w:highlight w:val="none"/>
                <w:vertAlign w:val="baseline"/>
                <w:lang w:eastAsia="zh-CN"/>
              </w:rPr>
              <w:t>）掌握数据可视化报道的能力。</w:t>
            </w:r>
          </w:p>
        </w:tc>
        <w:tc>
          <w:tcPr>
            <w:tcW w:w="1420" w:type="dxa"/>
            <w:vAlign w:val="center"/>
          </w:tcPr>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理解</w:t>
            </w:r>
            <w:r>
              <w:rPr>
                <w:rFonts w:hint="eastAsia" w:ascii="宋体" w:hAnsi="宋体"/>
                <w:sz w:val="21"/>
                <w:szCs w:val="21"/>
                <w:highlight w:val="none"/>
                <w:vertAlign w:val="baseline"/>
              </w:rPr>
              <w:t>数据与数据新闻</w:t>
            </w:r>
            <w:r>
              <w:rPr>
                <w:rFonts w:hint="eastAsia" w:ascii="宋体" w:hAnsi="宋体"/>
                <w:sz w:val="21"/>
                <w:szCs w:val="21"/>
                <w:highlight w:val="none"/>
                <w:vertAlign w:val="baseline"/>
                <w:lang w:eastAsia="zh-CN"/>
              </w:rPr>
              <w:t>的内涵，</w:t>
            </w:r>
            <w:r>
              <w:rPr>
                <w:rFonts w:hint="eastAsia" w:ascii="宋体" w:hAnsi="宋体"/>
                <w:sz w:val="21"/>
                <w:szCs w:val="21"/>
                <w:highlight w:val="none"/>
                <w:vertAlign w:val="baseline"/>
              </w:rPr>
              <w:t>建立对数据的基本概念</w:t>
            </w:r>
            <w:r>
              <w:rPr>
                <w:rFonts w:hint="eastAsia" w:ascii="宋体" w:hAnsi="宋体"/>
                <w:sz w:val="21"/>
                <w:szCs w:val="21"/>
                <w:highlight w:val="none"/>
                <w:vertAlign w:val="baseline"/>
                <w:lang w:eastAsia="zh-CN"/>
              </w:rPr>
              <w:t>；</w:t>
            </w:r>
          </w:p>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知道数据新闻的</w:t>
            </w:r>
            <w:r>
              <w:rPr>
                <w:rFonts w:hint="eastAsia" w:ascii="宋体" w:hAnsi="宋体"/>
                <w:sz w:val="21"/>
                <w:szCs w:val="21"/>
                <w:highlight w:val="none"/>
                <w:vertAlign w:val="baseline"/>
              </w:rPr>
              <w:t>基本特征和构成要素，了解数据新闻与精确新闻报道的区别与联系</w:t>
            </w:r>
            <w:r>
              <w:rPr>
                <w:rFonts w:hint="eastAsia" w:ascii="宋体" w:hAnsi="宋体"/>
                <w:sz w:val="21"/>
                <w:szCs w:val="21"/>
                <w:highlight w:val="none"/>
                <w:vertAlign w:val="baseline"/>
                <w:lang w:eastAsia="zh-CN"/>
              </w:rPr>
              <w:t>；</w:t>
            </w:r>
          </w:p>
          <w:p>
            <w:pPr>
              <w:numPr>
                <w:ilvl w:val="0"/>
                <w:numId w:val="3"/>
              </w:numPr>
              <w:snapToGrid w:val="0"/>
              <w:spacing w:line="288" w:lineRule="auto"/>
              <w:jc w:val="both"/>
              <w:rPr>
                <w:rFonts w:ascii="宋体" w:hAnsi="宋体"/>
                <w:sz w:val="21"/>
                <w:szCs w:val="21"/>
                <w:highlight w:val="none"/>
                <w:vertAlign w:val="baseline"/>
              </w:rPr>
            </w:pPr>
            <w:r>
              <w:rPr>
                <w:rFonts w:hint="eastAsia" w:ascii="宋体" w:hAnsi="宋体"/>
                <w:sz w:val="21"/>
                <w:szCs w:val="21"/>
                <w:highlight w:val="none"/>
                <w:vertAlign w:val="baseline"/>
                <w:lang w:eastAsia="zh-CN"/>
              </w:rPr>
              <w:t>知道</w:t>
            </w:r>
            <w:r>
              <w:rPr>
                <w:rFonts w:hint="eastAsia" w:ascii="宋体" w:hAnsi="宋体"/>
                <w:sz w:val="21"/>
                <w:szCs w:val="21"/>
                <w:highlight w:val="none"/>
                <w:vertAlign w:val="baseline"/>
              </w:rPr>
              <w:t>统计学基础知识</w:t>
            </w:r>
            <w:r>
              <w:rPr>
                <w:rFonts w:hint="eastAsia" w:ascii="宋体" w:hAnsi="宋体"/>
                <w:sz w:val="21"/>
                <w:szCs w:val="21"/>
                <w:highlight w:val="none"/>
                <w:vertAlign w:val="baseline"/>
                <w:lang w:eastAsia="zh-CN"/>
              </w:rPr>
              <w:t>。</w:t>
            </w: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重点与难点：熟悉数据与统计学基础知识。</w:t>
            </w:r>
          </w:p>
          <w:p>
            <w:pPr>
              <w:widowControl w:val="0"/>
              <w:numPr>
                <w:ilvl w:val="0"/>
                <w:numId w:val="0"/>
              </w:numPr>
              <w:snapToGrid w:val="0"/>
              <w:spacing w:line="288" w:lineRule="auto"/>
              <w:jc w:val="both"/>
              <w:rPr>
                <w:rFonts w:hint="eastAsia" w:ascii="宋体" w:hAnsi="宋体"/>
                <w:sz w:val="21"/>
                <w:szCs w:val="21"/>
                <w:highlight w:val="none"/>
                <w:vertAlign w:val="baseline"/>
                <w:lang w:eastAsia="zh-CN"/>
              </w:rPr>
            </w:pPr>
          </w:p>
        </w:tc>
        <w:tc>
          <w:tcPr>
            <w:tcW w:w="1421"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eastAsia="zh-CN"/>
              </w:rPr>
              <w:t>学生通过所学知识，结合自身的兴趣点进行数据新闻选题</w:t>
            </w:r>
            <w:r>
              <w:rPr>
                <w:rFonts w:hint="eastAsia"/>
                <w:sz w:val="21"/>
                <w:szCs w:val="21"/>
                <w:highlight w:val="none"/>
              </w:rPr>
              <w:t>，</w:t>
            </w:r>
            <w:r>
              <w:rPr>
                <w:rFonts w:hint="eastAsia"/>
                <w:sz w:val="21"/>
                <w:szCs w:val="21"/>
                <w:highlight w:val="none"/>
                <w:lang w:eastAsia="zh-CN"/>
              </w:rPr>
              <w:t>搜集数据资料，勾画</w:t>
            </w:r>
            <w:r>
              <w:rPr>
                <w:rFonts w:hint="eastAsia"/>
                <w:sz w:val="21"/>
                <w:szCs w:val="21"/>
                <w:highlight w:val="none"/>
              </w:rPr>
              <w:t>草图，</w:t>
            </w:r>
            <w:r>
              <w:rPr>
                <w:rFonts w:hint="eastAsia"/>
                <w:sz w:val="21"/>
                <w:szCs w:val="21"/>
                <w:highlight w:val="none"/>
                <w:lang w:eastAsia="zh-CN"/>
              </w:rPr>
              <w:t>构造故事，</w:t>
            </w:r>
            <w:r>
              <w:rPr>
                <w:rFonts w:hint="eastAsia"/>
                <w:sz w:val="21"/>
                <w:szCs w:val="21"/>
                <w:highlight w:val="none"/>
              </w:rPr>
              <w:t>确定选题和数据新闻的逻辑关系</w:t>
            </w:r>
            <w:r>
              <w:rPr>
                <w:rFonts w:hint="eastAsia"/>
                <w:sz w:val="21"/>
                <w:szCs w:val="21"/>
                <w:highlight w:val="none"/>
                <w:lang w:eastAsia="zh-CN"/>
              </w:rPr>
              <w:t>。</w:t>
            </w:r>
          </w:p>
        </w:tc>
        <w:tc>
          <w:tcPr>
            <w:tcW w:w="1421" w:type="dxa"/>
            <w:vAlign w:val="center"/>
          </w:tcPr>
          <w:p>
            <w:pPr>
              <w:numPr>
                <w:ilvl w:val="0"/>
                <w:numId w:val="4"/>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课堂表现，无迟到早退、无故旷课现象，课堂秩序及互动良好；</w:t>
            </w:r>
          </w:p>
          <w:p>
            <w:pPr>
              <w:numPr>
                <w:ilvl w:val="0"/>
                <w:numId w:val="4"/>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数据新闻选题合理，数据可得性强，数据与新闻报道具有较强的逻辑性。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0" w:type="dxa"/>
            <w:vAlign w:val="center"/>
          </w:tcPr>
          <w:p>
            <w:pPr>
              <w:numPr>
                <w:ilvl w:val="0"/>
                <w:numId w:val="5"/>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数据新闻选题报告与作品讲评</w:t>
            </w:r>
          </w:p>
          <w:p>
            <w:pPr>
              <w:numPr>
                <w:ilvl w:val="0"/>
                <w:numId w:val="0"/>
              </w:numPr>
              <w:snapToGrid w:val="0"/>
              <w:spacing w:line="288" w:lineRule="auto"/>
              <w:jc w:val="center"/>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8课时</w:t>
            </w:r>
          </w:p>
        </w:tc>
        <w:tc>
          <w:tcPr>
            <w:tcW w:w="1228" w:type="dxa"/>
            <w:vAlign w:val="center"/>
          </w:tcPr>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1</w:t>
            </w:r>
            <w:r>
              <w:rPr>
                <w:rFonts w:hint="eastAsia" w:ascii="宋体" w:hAnsi="宋体"/>
                <w:sz w:val="21"/>
                <w:szCs w:val="21"/>
                <w:highlight w:val="none"/>
                <w:vertAlign w:val="baseline"/>
                <w:lang w:eastAsia="zh-CN"/>
              </w:rPr>
              <w:t>）组织学生按小组进行数据新闻选题汇报；</w:t>
            </w:r>
          </w:p>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2</w:t>
            </w:r>
            <w:r>
              <w:rPr>
                <w:rFonts w:hint="eastAsia" w:ascii="宋体" w:hAnsi="宋体"/>
                <w:sz w:val="21"/>
                <w:szCs w:val="21"/>
                <w:highlight w:val="none"/>
                <w:vertAlign w:val="baseline"/>
                <w:lang w:eastAsia="zh-CN"/>
              </w:rPr>
              <w:t>）对汇报小组数据新闻作品进行讲评；</w:t>
            </w:r>
          </w:p>
          <w:p>
            <w:p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w:t>
            </w:r>
            <w:r>
              <w:rPr>
                <w:rFonts w:hint="eastAsia" w:ascii="宋体" w:hAnsi="宋体"/>
                <w:sz w:val="21"/>
                <w:szCs w:val="21"/>
                <w:highlight w:val="none"/>
                <w:vertAlign w:val="baseline"/>
                <w:lang w:val="en-US" w:eastAsia="zh-CN"/>
              </w:rPr>
              <w:t>3</w:t>
            </w:r>
            <w:r>
              <w:rPr>
                <w:rFonts w:hint="eastAsia" w:ascii="宋体" w:hAnsi="宋体"/>
                <w:sz w:val="21"/>
                <w:szCs w:val="21"/>
                <w:highlight w:val="none"/>
                <w:vertAlign w:val="baseline"/>
                <w:lang w:eastAsia="zh-CN"/>
              </w:rPr>
              <w:t>）组织其他小组学生就汇报小组的综合表现进行评价。</w:t>
            </w:r>
          </w:p>
        </w:tc>
        <w:tc>
          <w:tcPr>
            <w:tcW w:w="1612"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eastAsia="zh-CN"/>
              </w:rPr>
              <w:t>掌握资料展示与口头汇报的能力。</w:t>
            </w:r>
          </w:p>
        </w:tc>
        <w:tc>
          <w:tcPr>
            <w:tcW w:w="1420" w:type="dxa"/>
            <w:vAlign w:val="center"/>
          </w:tcPr>
          <w:p>
            <w:pPr>
              <w:snapToGrid w:val="0"/>
              <w:spacing w:line="288" w:lineRule="auto"/>
              <w:jc w:val="both"/>
              <w:rPr>
                <w:rFonts w:hint="eastAsia" w:ascii="宋体" w:hAnsi="宋体" w:eastAsiaTheme="minorEastAsia"/>
                <w:sz w:val="21"/>
                <w:szCs w:val="21"/>
                <w:highlight w:val="none"/>
                <w:vertAlign w:val="baseline"/>
                <w:lang w:eastAsia="zh-CN"/>
              </w:rPr>
            </w:pPr>
            <w:r>
              <w:rPr>
                <w:rFonts w:hint="eastAsia" w:ascii="宋体" w:hAnsi="宋体"/>
                <w:sz w:val="21"/>
                <w:szCs w:val="21"/>
                <w:highlight w:val="none"/>
                <w:vertAlign w:val="baseline"/>
                <w:lang w:val="en-US" w:eastAsia="zh-CN"/>
              </w:rPr>
              <w:t xml:space="preserve"> 熟知</w:t>
            </w:r>
            <w:r>
              <w:rPr>
                <w:rFonts w:hint="eastAsia" w:ascii="宋体" w:hAnsi="宋体"/>
                <w:sz w:val="21"/>
                <w:szCs w:val="21"/>
                <w:highlight w:val="none"/>
                <w:vertAlign w:val="baseline"/>
                <w:lang w:eastAsia="zh-CN"/>
              </w:rPr>
              <w:t>数据新闻制作流程。</w:t>
            </w:r>
          </w:p>
        </w:tc>
        <w:tc>
          <w:tcPr>
            <w:tcW w:w="1421" w:type="dxa"/>
            <w:vAlign w:val="center"/>
          </w:tcPr>
          <w:p>
            <w:pPr>
              <w:numPr>
                <w:ilvl w:val="0"/>
                <w:numId w:val="6"/>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eastAsia="zh-CN"/>
              </w:rPr>
              <w:t>学生按小组进行口头报告：结合</w:t>
            </w:r>
            <w:r>
              <w:rPr>
                <w:rFonts w:hint="eastAsia" w:ascii="宋体" w:hAnsi="宋体"/>
                <w:sz w:val="21"/>
                <w:szCs w:val="21"/>
                <w:highlight w:val="none"/>
                <w:vertAlign w:val="baseline"/>
                <w:lang w:val="en-US" w:eastAsia="zh-CN"/>
              </w:rPr>
              <w:t>PPT将数据新闻选题进行汇报，对选题所需数据的采集、清理与分析进行汇报，对数据与新闻报道的逻辑性进行汇报。</w:t>
            </w:r>
          </w:p>
          <w:p>
            <w:pPr>
              <w:numPr>
                <w:ilvl w:val="0"/>
                <w:numId w:val="6"/>
              </w:numPr>
              <w:snapToGrid w:val="0"/>
              <w:spacing w:line="288" w:lineRule="auto"/>
              <w:jc w:val="both"/>
              <w:rPr>
                <w:rFonts w:hint="eastAsia"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其他小组学生运用所学知识对汇报小组的选题汇报进行评价。</w:t>
            </w:r>
          </w:p>
        </w:tc>
        <w:tc>
          <w:tcPr>
            <w:tcW w:w="1421" w:type="dxa"/>
            <w:vAlign w:val="center"/>
          </w:tcPr>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整个报告清晰地围绕着选题进行展开；</w:t>
            </w:r>
          </w:p>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展示资料的完整性与美观性；</w:t>
            </w:r>
          </w:p>
          <w:p>
            <w:pPr>
              <w:numPr>
                <w:ilvl w:val="0"/>
                <w:numId w:val="7"/>
              </w:numPr>
              <w:snapToGrid w:val="0"/>
              <w:spacing w:line="288" w:lineRule="auto"/>
              <w:jc w:val="both"/>
              <w:rPr>
                <w:rFonts w:hint="eastAsia" w:ascii="宋体" w:hAnsi="宋体"/>
                <w:sz w:val="21"/>
                <w:szCs w:val="21"/>
                <w:highlight w:val="none"/>
                <w:vertAlign w:val="baseline"/>
                <w:lang w:eastAsia="zh-CN"/>
              </w:rPr>
            </w:pPr>
            <w:r>
              <w:rPr>
                <w:rFonts w:hint="eastAsia" w:ascii="宋体" w:hAnsi="宋体"/>
                <w:sz w:val="21"/>
                <w:szCs w:val="21"/>
                <w:highlight w:val="none"/>
                <w:vertAlign w:val="baseline"/>
                <w:lang w:eastAsia="zh-CN"/>
              </w:rPr>
              <w:t>注重口头汇报的语言艺术与表达效果。</w:t>
            </w:r>
          </w:p>
        </w:tc>
      </w:tr>
    </w:tbl>
    <w:p>
      <w:pPr>
        <w:snapToGrid w:val="0"/>
        <w:spacing w:line="288" w:lineRule="auto"/>
        <w:ind w:firstLine="402" w:firstLineChars="200"/>
        <w:rPr>
          <w:rFonts w:hint="eastAsia" w:ascii="宋体" w:hAnsi="宋体"/>
          <w:b/>
          <w:bCs/>
          <w:sz w:val="20"/>
          <w:szCs w:val="20"/>
          <w:highlight w:val="none"/>
          <w:lang w:eastAsia="zh-CN"/>
        </w:rPr>
      </w:pPr>
    </w:p>
    <w:p>
      <w:pPr>
        <w:snapToGrid w:val="0"/>
        <w:spacing w:line="288" w:lineRule="auto"/>
        <w:rPr>
          <w:rFonts w:ascii="宋体" w:hAnsi="宋体"/>
          <w:sz w:val="20"/>
          <w:szCs w:val="20"/>
          <w:highlight w:val="none"/>
        </w:rPr>
      </w:pPr>
    </w:p>
    <w:p>
      <w:pPr>
        <w:snapToGrid w:val="0"/>
        <w:spacing w:line="288" w:lineRule="auto"/>
        <w:ind w:right="26"/>
        <w:rPr>
          <w:sz w:val="20"/>
          <w:szCs w:val="20"/>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、课内实验名称及基本要求（选填，适用于课内实验）</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w:t>
            </w:r>
          </w:p>
          <w:p>
            <w:pPr>
              <w:snapToGrid w:val="0"/>
              <w:jc w:val="center"/>
              <w:rPr>
                <w:rFonts w:ascii="Times New Roman" w:hAnsi="Times New Roman"/>
                <w:sz w:val="20"/>
                <w:szCs w:val="20"/>
              </w:rPr>
            </w:pPr>
            <w:r>
              <w:rPr>
                <w:rFonts w:ascii="Times New Roman" w:hAnsi="Times New Roman"/>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Times New Roman" w:hAnsi="Times New Roman"/>
                <w:sz w:val="20"/>
                <w:szCs w:val="20"/>
              </w:rPr>
            </w:pPr>
            <w:r>
              <w:rPr>
                <w:rFonts w:ascii="Times New Roman" w:hAnsi="Times New Roma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sz w:val="20"/>
                <w:szCs w:val="20"/>
                <w:lang w:val="en-US" w:eastAsia="zh-CN"/>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eastAsia="zh-CN"/>
              </w:rPr>
              <w:t>八爪鱼采集器批量采集数据</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hint="eastAsia" w:ascii="宋体" w:hAnsi="宋体" w:cs="宋体"/>
                <w:sz w:val="20"/>
                <w:szCs w:val="20"/>
                <w:lang w:val="en-US" w:eastAsia="zh-CN"/>
              </w:rPr>
              <w:t>通过八爪鱼采集器的简易模式和自定义模式，搜索并批量采集数据，构建选题的编码薄。</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val="en-US" w:eastAsia="zh-CN"/>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cs="宋体"/>
                <w:sz w:val="20"/>
                <w:szCs w:val="20"/>
                <w:lang w:eastAsia="zh-CN"/>
              </w:rPr>
              <w:t>演示类</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tbl>
            <w:tblPr>
              <w:tblStyle w:val="4"/>
              <w:tblW w:w="10853" w:type="dxa"/>
              <w:tblInd w:w="0" w:type="dxa"/>
              <w:tblLayout w:type="fixed"/>
              <w:tblCellMar>
                <w:top w:w="0" w:type="dxa"/>
                <w:left w:w="0" w:type="dxa"/>
                <w:bottom w:w="0" w:type="dxa"/>
                <w:right w:w="0" w:type="dxa"/>
              </w:tblCellMar>
            </w:tblPr>
            <w:tblGrid>
              <w:gridCol w:w="10853"/>
            </w:tblGrid>
            <w:tr>
              <w:tblPrEx>
                <w:tblCellMar>
                  <w:top w:w="0" w:type="dxa"/>
                  <w:left w:w="0" w:type="dxa"/>
                  <w:bottom w:w="0" w:type="dxa"/>
                  <w:right w:w="0" w:type="dxa"/>
                </w:tblCellMar>
              </w:tblPrEx>
              <w:tc>
                <w:tcPr>
                  <w:tcW w:w="10853" w:type="dxa"/>
                  <w:tcBorders>
                    <w:bottom w:val="dotted" w:color="CCCCCC" w:sz="4" w:space="0"/>
                  </w:tcBorders>
                  <w:shd w:val="clear" w:color="auto" w:fill="auto"/>
                  <w:tcMar>
                    <w:top w:w="80" w:type="dxa"/>
                    <w:left w:w="20" w:type="dxa"/>
                    <w:bottom w:w="80" w:type="dxa"/>
                    <w:right w:w="20" w:type="dxa"/>
                  </w:tcMar>
                  <w:vAlign w:val="center"/>
                </w:tcPr>
                <w:p>
                  <w:pPr>
                    <w:widowControl/>
                    <w:jc w:val="left"/>
                    <w:rPr>
                      <w:rFonts w:ascii="Times New Roman" w:hAnsi="Times New Roman"/>
                      <w:sz w:val="20"/>
                      <w:szCs w:val="20"/>
                    </w:rPr>
                  </w:pPr>
                  <w:r>
                    <w:rPr>
                      <w:rFonts w:ascii="Times New Roman" w:hAnsi="Times New Roman"/>
                      <w:sz w:val="20"/>
                      <w:szCs w:val="20"/>
                    </w:rPr>
                    <w:t>Tableau数据可</w:t>
                  </w:r>
                </w:p>
                <w:p>
                  <w:pPr>
                    <w:widowControl/>
                    <w:jc w:val="left"/>
                    <w:rPr>
                      <w:rFonts w:ascii="Times New Roman" w:hAnsi="Times New Roman" w:eastAsia="微软雅黑"/>
                      <w:color w:val="000000"/>
                      <w:sz w:val="20"/>
                      <w:szCs w:val="20"/>
                    </w:rPr>
                  </w:pPr>
                  <w:r>
                    <w:rPr>
                      <w:rFonts w:ascii="Times New Roman" w:hAnsi="Times New Roman"/>
                      <w:sz w:val="20"/>
                      <w:szCs w:val="20"/>
                    </w:rPr>
                    <w:t>视化实验</w:t>
                  </w:r>
                </w:p>
              </w:tc>
            </w:tr>
          </w:tbl>
          <w:p>
            <w:pPr>
              <w:snapToGrid w:val="0"/>
              <w:spacing w:before="156" w:beforeLines="50" w:after="156" w:afterLines="50" w:line="288" w:lineRule="auto"/>
              <w:jc w:val="center"/>
              <w:rPr>
                <w:rFonts w:ascii="Times New Roman" w:hAnsi="Times New Roman"/>
                <w:sz w:val="20"/>
                <w:szCs w:val="20"/>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Times New Roman" w:hAnsi="Times New Roman"/>
                <w:sz w:val="20"/>
                <w:szCs w:val="20"/>
              </w:rPr>
            </w:pPr>
            <w:r>
              <w:rPr>
                <w:rFonts w:ascii="Times New Roman" w:hAnsi="Times New Roman"/>
                <w:sz w:val="20"/>
                <w:szCs w:val="20"/>
              </w:rPr>
              <w:t>通过使用Tableau Software软件帮助学生查看并理解数据，并进行可视化操作。</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Times New Roman" w:hAnsi="Times New Roman" w:eastAsia="宋体"/>
                <w:sz w:val="20"/>
                <w:szCs w:val="20"/>
                <w:lang w:eastAsia="zh-CN"/>
              </w:rPr>
            </w:pPr>
            <w:r>
              <w:rPr>
                <w:rFonts w:hint="eastAsia" w:ascii="Times New Roman" w:hAnsi="Times New Roman"/>
                <w:sz w:val="20"/>
                <w:szCs w:val="20"/>
                <w:lang w:val="en-US" w:eastAsia="zh-CN"/>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综合性</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sz w:val="20"/>
                <w:szCs w:val="20"/>
              </w:rPr>
            </w:pPr>
            <w:r>
              <w:rPr>
                <w:rFonts w:hint="eastAsia" w:ascii="宋体" w:hAnsi="宋体" w:eastAsia="宋体" w:cs="宋体"/>
                <w:color w:val="000000"/>
                <w:kern w:val="0"/>
                <w:sz w:val="20"/>
                <w:szCs w:val="20"/>
              </w:rPr>
              <w:sym w:font="Wingdings 2" w:char="F098"/>
            </w:r>
          </w:p>
        </w:tc>
      </w:tr>
    </w:tbl>
    <w:p>
      <w:pPr>
        <w:snapToGrid w:val="0"/>
        <w:spacing w:line="288" w:lineRule="auto"/>
        <w:ind w:right="2520" w:firstLine="400" w:firstLineChars="200"/>
        <w:rPr>
          <w:sz w:val="20"/>
          <w:szCs w:val="20"/>
          <w:highlight w:val="none"/>
        </w:rPr>
      </w:pPr>
    </w:p>
    <w:p>
      <w:pPr>
        <w:snapToGrid w:val="0"/>
        <w:spacing w:line="288" w:lineRule="auto"/>
        <w:ind w:right="2520"/>
        <w:rPr>
          <w:rFonts w:hint="eastAsia" w:ascii="黑体" w:hAnsi="宋体" w:eastAsia="黑体"/>
          <w:sz w:val="24"/>
          <w:highlight w:val="none"/>
          <w:lang w:val="en-US" w:eastAsia="zh-CN"/>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八</w:t>
      </w:r>
      <w:r>
        <w:rPr>
          <w:rFonts w:hint="eastAsia" w:ascii="黑体" w:hAnsi="宋体" w:eastAsia="黑体"/>
          <w:sz w:val="24"/>
          <w:highlight w:val="none"/>
        </w:rPr>
        <w:t>、评价方式与成绩</w:t>
      </w:r>
      <w:r>
        <w:rPr>
          <w:rFonts w:ascii="黑体" w:hAnsi="宋体" w:eastAsia="黑体"/>
          <w:sz w:val="24"/>
          <w:highlight w:val="none"/>
        </w:rPr>
        <w:t>（必填项）</w:t>
      </w:r>
    </w:p>
    <w:tbl>
      <w:tblPr>
        <w:tblStyle w:val="4"/>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 w:val="21"/>
                <w:szCs w:val="21"/>
                <w:highlight w:val="none"/>
              </w:rPr>
            </w:pPr>
            <w:r>
              <w:rPr>
                <w:rFonts w:hint="eastAsia" w:ascii="宋体" w:hAnsi="宋体"/>
                <w:bCs/>
                <w:color w:val="000000"/>
                <w:sz w:val="21"/>
                <w:szCs w:val="21"/>
                <w:highlight w:val="none"/>
              </w:rPr>
              <w:t>总评构成（1+</w:t>
            </w:r>
            <w:r>
              <w:rPr>
                <w:rFonts w:ascii="宋体" w:hAnsi="宋体"/>
                <w:bCs/>
                <w:color w:val="000000"/>
                <w:sz w:val="21"/>
                <w:szCs w:val="21"/>
                <w:highlight w:val="none"/>
              </w:rPr>
              <w:t>X</w:t>
            </w:r>
            <w:r>
              <w:rPr>
                <w:rFonts w:hint="eastAsia" w:ascii="宋体" w:hAnsi="宋体"/>
                <w:bCs/>
                <w:color w:val="000000"/>
                <w:sz w:val="21"/>
                <w:szCs w:val="21"/>
                <w:highlight w:val="none"/>
              </w:rPr>
              <w:t>）</w:t>
            </w:r>
          </w:p>
        </w:tc>
        <w:tc>
          <w:tcPr>
            <w:tcW w:w="5103"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评价方式</w:t>
            </w:r>
          </w:p>
        </w:tc>
        <w:tc>
          <w:tcPr>
            <w:tcW w:w="2127"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lang w:val="en-US" w:eastAsia="zh-CN"/>
              </w:rPr>
              <w:t>X</w:t>
            </w:r>
            <w:r>
              <w:rPr>
                <w:rFonts w:hint="eastAsia" w:ascii="宋体" w:hAnsi="宋体"/>
                <w:bCs/>
                <w:color w:val="000000"/>
                <w:sz w:val="21"/>
                <w:szCs w:val="21"/>
                <w:highlight w:val="none"/>
              </w:rPr>
              <w:t>1</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纸笔测验（</w:t>
            </w:r>
            <w:r>
              <w:rPr>
                <w:rFonts w:hint="eastAsia" w:ascii="宋体" w:hAnsi="宋体"/>
                <w:bCs/>
                <w:color w:val="000000"/>
                <w:sz w:val="21"/>
                <w:szCs w:val="21"/>
                <w:highlight w:val="none"/>
                <w:lang w:val="en-US" w:eastAsia="zh-CN"/>
              </w:rPr>
              <w:t>11周随堂考</w:t>
            </w:r>
            <w:r>
              <w:rPr>
                <w:rFonts w:hint="eastAsia" w:ascii="宋体" w:hAnsi="宋体"/>
                <w:bCs/>
                <w:color w:val="000000"/>
                <w:sz w:val="21"/>
                <w:szCs w:val="21"/>
                <w:highlight w:val="none"/>
                <w:lang w:eastAsia="zh-CN"/>
              </w:rPr>
              <w:t>）</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rPr>
              <w:t>X</w:t>
            </w:r>
            <w:r>
              <w:rPr>
                <w:rFonts w:hint="eastAsia" w:ascii="宋体" w:hAnsi="宋体"/>
                <w:bCs/>
                <w:color w:val="000000"/>
                <w:sz w:val="21"/>
                <w:szCs w:val="21"/>
                <w:highlight w:val="none"/>
                <w:lang w:val="en-US" w:eastAsia="zh-CN"/>
              </w:rPr>
              <w:t>2</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课堂小组汇报</w:t>
            </w:r>
            <w:r>
              <w:rPr>
                <w:rFonts w:hint="eastAsia" w:ascii="宋体" w:hAnsi="宋体" w:eastAsia="宋体"/>
                <w:bCs/>
                <w:color w:val="000000"/>
                <w:sz w:val="21"/>
                <w:szCs w:val="21"/>
                <w:highlight w:val="none"/>
                <w:lang w:eastAsia="zh-CN"/>
              </w:rPr>
              <w:t>（</w:t>
            </w:r>
            <w:r>
              <w:rPr>
                <w:rFonts w:hint="eastAsia" w:ascii="宋体" w:hAnsi="宋体" w:eastAsia="宋体"/>
                <w:bCs/>
                <w:color w:val="000000"/>
                <w:sz w:val="21"/>
                <w:szCs w:val="21"/>
                <w:highlight w:val="none"/>
                <w:lang w:val="en-US" w:eastAsia="zh-CN"/>
              </w:rPr>
              <w:t>12-15周课堂小组汇报</w:t>
            </w:r>
            <w:r>
              <w:rPr>
                <w:rFonts w:hint="eastAsia" w:ascii="宋体" w:hAnsi="宋体" w:eastAsia="宋体"/>
                <w:bCs/>
                <w:color w:val="000000"/>
                <w:sz w:val="21"/>
                <w:szCs w:val="21"/>
                <w:highlight w:val="none"/>
                <w:lang w:eastAsia="zh-CN"/>
              </w:rPr>
              <w:t>）</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rPr>
              <w:t>X</w:t>
            </w:r>
            <w:r>
              <w:rPr>
                <w:rFonts w:hint="eastAsia" w:ascii="宋体" w:hAnsi="宋体"/>
                <w:bCs/>
                <w:color w:val="000000"/>
                <w:sz w:val="21"/>
                <w:szCs w:val="21"/>
                <w:highlight w:val="none"/>
                <w:lang w:val="en-US" w:eastAsia="zh-CN"/>
              </w:rPr>
              <w:t>3</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数据新闻作品（以网页形式呈现，参加第三届学院数据新闻大赛）</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50%</w:t>
            </w:r>
          </w:p>
        </w:tc>
      </w:tr>
    </w:tbl>
    <w:p>
      <w:pPr>
        <w:snapToGrid w:val="0"/>
        <w:spacing w:before="120" w:after="120" w:line="288" w:lineRule="auto"/>
        <w:ind w:firstLine="400" w:firstLineChars="200"/>
        <w:rPr>
          <w:rFonts w:ascii="宋体" w:hAnsi="宋体"/>
          <w:sz w:val="20"/>
          <w:szCs w:val="20"/>
          <w:highlight w:val="none"/>
        </w:rPr>
      </w:pPr>
    </w:p>
    <w:p>
      <w:pPr>
        <w:keepNext w:val="0"/>
        <w:keepLines w:val="0"/>
        <w:pageBreakBefore w:val="0"/>
        <w:numPr>
          <w:ilvl w:val="0"/>
          <w:numId w:val="8"/>
        </w:numPr>
        <w:kinsoku/>
        <w:wordWrap/>
        <w:overflowPunct/>
        <w:topLinePunct w:val="0"/>
        <w:autoSpaceDE/>
        <w:autoSpaceDN/>
        <w:bidi w:val="0"/>
        <w:snapToGrid w:val="0"/>
        <w:spacing w:line="360" w:lineRule="auto"/>
        <w:ind w:right="2520" w:firstLine="480" w:firstLineChars="200"/>
        <w:rPr>
          <w:rFonts w:hint="eastAsia" w:ascii="黑体" w:hAnsi="宋体" w:eastAsia="黑体"/>
          <w:sz w:val="24"/>
          <w:highlight w:val="none"/>
          <w:lang w:eastAsia="zh-CN"/>
        </w:rPr>
      </w:pPr>
      <w:r>
        <w:rPr>
          <w:rFonts w:hint="eastAsia" w:ascii="黑体" w:hAnsi="宋体" w:eastAsia="黑体"/>
          <w:sz w:val="24"/>
          <w:highlight w:val="none"/>
          <w:lang w:eastAsia="zh-CN"/>
        </w:rPr>
        <w:t>课程思政预期成果及成果表现形式</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立足学科特色挖掘课程思政资源，推动社会主义核心价值观融入本课程，建设示范教学课件、教学案例和教学实践体系。将社会主义核心价值观融入到课程的教学体系中，通过国际政治经济新闻报道，帮助学生更好地理解社会主义核心价值观在现实的生活、学习与工作中的重要意义。</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lang w:eastAsia="zh-CN"/>
        </w:rPr>
      </w:pPr>
      <w:r>
        <w:rPr>
          <w:rFonts w:hint="eastAsia"/>
          <w:lang w:eastAsia="zh-CN"/>
        </w:rPr>
        <w:t>教学案例：开展围绕“改革开放以来新中国的对外开放成就”来进行进出口贸易、对外投资、经济一体化、区域一体化等各个层面的数据新闻选题，搜集相关数据，制作以反映改革开放四十周年成就为主题的数据新闻作品，新闻要素完整，以网页形式提交。</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sz w:val="20"/>
          <w:szCs w:val="20"/>
          <w:highlight w:val="none"/>
          <w:lang w:eastAsia="zh-CN"/>
        </w:rPr>
      </w:pPr>
      <w:r>
        <w:rPr>
          <w:rFonts w:hint="eastAsia"/>
          <w:lang w:eastAsia="zh-CN"/>
        </w:rPr>
        <w:t>通过课堂分享，增强学生的国际视野、国家荣誉感和民族自豪感，坚定学生对社会主义制度的道路自信、文化自信、制度自信和理论自信。</w:t>
      </w:r>
    </w:p>
    <w:p>
      <w:pPr>
        <w:snapToGrid w:val="0"/>
        <w:spacing w:before="120" w:after="120" w:line="288" w:lineRule="auto"/>
        <w:ind w:firstLine="400" w:firstLineChars="200"/>
        <w:rPr>
          <w:rFonts w:ascii="宋体" w:hAnsi="宋体"/>
          <w:sz w:val="20"/>
          <w:szCs w:val="20"/>
          <w:highlight w:val="none"/>
        </w:rPr>
      </w:pPr>
    </w:p>
    <w:p>
      <w:pPr>
        <w:snapToGrid w:val="0"/>
        <w:spacing w:before="120" w:after="120" w:line="288" w:lineRule="auto"/>
        <w:ind w:firstLine="400" w:firstLineChars="200"/>
        <w:rPr>
          <w:rFonts w:ascii="宋体" w:hAnsi="宋体"/>
          <w:sz w:val="20"/>
          <w:szCs w:val="20"/>
          <w:highlight w:val="none"/>
        </w:rPr>
      </w:pPr>
    </w:p>
    <w:p>
      <w:pPr>
        <w:snapToGrid w:val="0"/>
        <w:spacing w:line="360" w:lineRule="auto"/>
        <w:rPr>
          <w:rFonts w:hint="eastAsia"/>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drawing>
          <wp:inline distT="0" distB="0" distL="114300" distR="114300">
            <wp:extent cx="1241425" cy="284480"/>
            <wp:effectExtent l="0" t="0" r="3175" b="7620"/>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241425" cy="284480"/>
                    </a:xfrm>
                    <a:prstGeom prst="rect">
                      <a:avLst/>
                    </a:prstGeom>
                  </pic:spPr>
                </pic:pic>
              </a:graphicData>
            </a:graphic>
          </wp:inline>
        </w:drawing>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val="en-US" w:eastAsia="zh-CN"/>
        </w:rPr>
        <w:drawing>
          <wp:inline distT="0" distB="0" distL="114300" distR="114300">
            <wp:extent cx="940435" cy="369570"/>
            <wp:effectExtent l="0" t="0" r="12065" b="0"/>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6"/>
                    <a:stretch>
                      <a:fillRect/>
                    </a:stretch>
                  </pic:blipFill>
                  <pic:spPr>
                    <a:xfrm>
                      <a:off x="0" y="0"/>
                      <a:ext cx="940435" cy="369570"/>
                    </a:xfrm>
                    <a:prstGeom prst="rect">
                      <a:avLst/>
                    </a:prstGeom>
                  </pic:spPr>
                </pic:pic>
              </a:graphicData>
            </a:graphic>
          </wp:inline>
        </w:drawing>
      </w:r>
      <w:r>
        <w:rPr>
          <w:rFonts w:hint="eastAsia"/>
          <w:sz w:val="28"/>
          <w:szCs w:val="28"/>
          <w:highlight w:val="none"/>
          <w:lang w:val="en-US" w:eastAsia="zh-CN"/>
        </w:rPr>
        <w:t xml:space="preserve">   </w:t>
      </w:r>
    </w:p>
    <w:p>
      <w:pPr>
        <w:spacing w:line="480" w:lineRule="auto"/>
        <w:jc w:val="center"/>
        <w:rPr>
          <w:rFonts w:asciiTheme="minorEastAsia" w:hAnsiTheme="minorEastAsia"/>
          <w:b/>
          <w:sz w:val="30"/>
          <w:szCs w:val="30"/>
          <w:highlight w:val="none"/>
        </w:rPr>
      </w:pP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2020.09</w:t>
      </w:r>
      <w:bookmarkStart w:id="1" w:name="_GoBack"/>
      <w:bookmarkEnd w:id="1"/>
      <w:r>
        <w:rPr>
          <w:rFonts w:hint="eastAsia"/>
          <w:sz w:val="28"/>
          <w:szCs w:val="28"/>
          <w:highlight w:val="none"/>
          <w:lang w:val="en-US" w:eastAsia="zh-CN"/>
        </w:rPr>
        <w:t xml:space="preserve">  </w:t>
      </w:r>
    </w:p>
    <w:p>
      <w:pPr>
        <w:rPr>
          <w:highlight w:val="none"/>
        </w:rPr>
      </w:pPr>
    </w:p>
    <w:p>
      <w:pPr>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F0ABB"/>
    <w:multiLevelType w:val="singleLevel"/>
    <w:tmpl w:val="92DF0ABB"/>
    <w:lvl w:ilvl="0" w:tentative="0">
      <w:start w:val="9"/>
      <w:numFmt w:val="chineseCounting"/>
      <w:suff w:val="nothing"/>
      <w:lvlText w:val="%1、"/>
      <w:lvlJc w:val="left"/>
      <w:rPr>
        <w:rFonts w:hint="eastAsia"/>
      </w:rPr>
    </w:lvl>
  </w:abstractNum>
  <w:abstractNum w:abstractNumId="1">
    <w:nsid w:val="59A3AD1B"/>
    <w:multiLevelType w:val="singleLevel"/>
    <w:tmpl w:val="59A3AD1B"/>
    <w:lvl w:ilvl="0" w:tentative="0">
      <w:start w:val="2"/>
      <w:numFmt w:val="decimal"/>
      <w:suff w:val="nothing"/>
      <w:lvlText w:val="%1、"/>
      <w:lvlJc w:val="left"/>
    </w:lvl>
  </w:abstractNum>
  <w:abstractNum w:abstractNumId="2">
    <w:nsid w:val="59A3AD30"/>
    <w:multiLevelType w:val="singleLevel"/>
    <w:tmpl w:val="59A3AD30"/>
    <w:lvl w:ilvl="0" w:tentative="0">
      <w:start w:val="1"/>
      <w:numFmt w:val="decimal"/>
      <w:suff w:val="nothing"/>
      <w:lvlText w:val="%1、"/>
      <w:lvlJc w:val="left"/>
    </w:lvl>
  </w:abstractNum>
  <w:abstractNum w:abstractNumId="3">
    <w:nsid w:val="59A3AFEB"/>
    <w:multiLevelType w:val="singleLevel"/>
    <w:tmpl w:val="59A3AFEB"/>
    <w:lvl w:ilvl="0" w:tentative="0">
      <w:start w:val="1"/>
      <w:numFmt w:val="decimal"/>
      <w:suff w:val="nothing"/>
      <w:lvlText w:val="（%1）"/>
      <w:lvlJc w:val="left"/>
    </w:lvl>
  </w:abstractNum>
  <w:abstractNum w:abstractNumId="4">
    <w:nsid w:val="59A3B27A"/>
    <w:multiLevelType w:val="singleLevel"/>
    <w:tmpl w:val="59A3B27A"/>
    <w:lvl w:ilvl="0" w:tentative="0">
      <w:start w:val="1"/>
      <w:numFmt w:val="decimal"/>
      <w:suff w:val="nothing"/>
      <w:lvlText w:val="（%1）"/>
      <w:lvlJc w:val="left"/>
    </w:lvl>
  </w:abstractNum>
  <w:abstractNum w:abstractNumId="5">
    <w:nsid w:val="59A3B77B"/>
    <w:multiLevelType w:val="singleLevel"/>
    <w:tmpl w:val="59A3B77B"/>
    <w:lvl w:ilvl="0" w:tentative="0">
      <w:start w:val="1"/>
      <w:numFmt w:val="decimal"/>
      <w:suff w:val="nothing"/>
      <w:lvlText w:val="（%1）"/>
      <w:lvlJc w:val="left"/>
    </w:lvl>
  </w:abstractNum>
  <w:abstractNum w:abstractNumId="6">
    <w:nsid w:val="59A3BF6F"/>
    <w:multiLevelType w:val="singleLevel"/>
    <w:tmpl w:val="59A3BF6F"/>
    <w:lvl w:ilvl="0" w:tentative="0">
      <w:start w:val="1"/>
      <w:numFmt w:val="decimal"/>
      <w:suff w:val="nothing"/>
      <w:lvlText w:val="（%1）"/>
      <w:lvlJc w:val="left"/>
    </w:lvl>
  </w:abstractNum>
  <w:abstractNum w:abstractNumId="7">
    <w:nsid w:val="59A3C525"/>
    <w:multiLevelType w:val="singleLevel"/>
    <w:tmpl w:val="59A3C525"/>
    <w:lvl w:ilvl="0" w:tentative="0">
      <w:start w:val="1"/>
      <w:numFmt w:val="decimal"/>
      <w:suff w:val="nothing"/>
      <w:lvlText w:val="（%1）"/>
      <w:lvlJc w:val="left"/>
    </w:lvl>
  </w:abstractNum>
  <w:num w:numId="1">
    <w:abstractNumId w:val="2"/>
  </w:num>
  <w:num w:numId="2">
    <w:abstractNumId w:val="4"/>
  </w:num>
  <w:num w:numId="3">
    <w:abstractNumId w:val="3"/>
  </w:num>
  <w:num w:numId="4">
    <w:abstractNumId w:val="5"/>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24B0C39"/>
    <w:rsid w:val="035E0FE0"/>
    <w:rsid w:val="07B1409A"/>
    <w:rsid w:val="0A8128A6"/>
    <w:rsid w:val="0BF32A1B"/>
    <w:rsid w:val="0DA81698"/>
    <w:rsid w:val="10BD2C22"/>
    <w:rsid w:val="166929BB"/>
    <w:rsid w:val="19327970"/>
    <w:rsid w:val="1AB6091A"/>
    <w:rsid w:val="204C0D72"/>
    <w:rsid w:val="212A6243"/>
    <w:rsid w:val="22987C80"/>
    <w:rsid w:val="24192CCC"/>
    <w:rsid w:val="24371CA8"/>
    <w:rsid w:val="2A495706"/>
    <w:rsid w:val="340D6CD5"/>
    <w:rsid w:val="353A5FEE"/>
    <w:rsid w:val="37AF146D"/>
    <w:rsid w:val="39A66CD4"/>
    <w:rsid w:val="3CD52CE1"/>
    <w:rsid w:val="3E9C31FA"/>
    <w:rsid w:val="410F2E6A"/>
    <w:rsid w:val="4430136C"/>
    <w:rsid w:val="480B3797"/>
    <w:rsid w:val="498D558C"/>
    <w:rsid w:val="4AB0382B"/>
    <w:rsid w:val="4D5C2EBE"/>
    <w:rsid w:val="545A5DA7"/>
    <w:rsid w:val="569868B5"/>
    <w:rsid w:val="5878472A"/>
    <w:rsid w:val="59647F72"/>
    <w:rsid w:val="598D3788"/>
    <w:rsid w:val="610B34BF"/>
    <w:rsid w:val="611F6817"/>
    <w:rsid w:val="64E66081"/>
    <w:rsid w:val="66CA1754"/>
    <w:rsid w:val="6F1E65D4"/>
    <w:rsid w:val="6F266C86"/>
    <w:rsid w:val="6F5042C2"/>
    <w:rsid w:val="74316312"/>
    <w:rsid w:val="780F13C8"/>
    <w:rsid w:val="7C385448"/>
    <w:rsid w:val="7E6A3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4</TotalTime>
  <ScaleCrop>false</ScaleCrop>
  <LinksUpToDate>false</LinksUpToDate>
  <CharactersWithSpaces>1834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cp:lastModifiedBy>
  <cp:lastPrinted>2019-08-31T02:52:00Z</cp:lastPrinted>
  <dcterms:modified xsi:type="dcterms:W3CDTF">2020-09-08T08:49:20Z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y fmtid="{D5CDD505-2E9C-101B-9397-08002B2CF9AE}" pid="3" name="KSORubyTemplateID" linkTarget="0">
    <vt:lpwstr>6</vt:lpwstr>
  </property>
</Properties>
</file>