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仿宋" w:hAnsi="仿宋" w:eastAsia="仿宋"/>
          <w:sz w:val="28"/>
          <w:szCs w:val="28"/>
          <w:highlight w:val="none"/>
        </w:rPr>
      </w:pPr>
      <w:r>
        <w:rPr>
          <w:lang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rPr>
          <w:lang w:eastAsia="zh-CN"/>
        </w:rPr>
        <w:fldChar w:fldCharType="separate"/>
      </w:r>
      <w:r>
        <w:rPr>
          <w:lang w:eastAsia="zh-CN"/>
        </w:rPr>
        <w:fldChar w:fldCharType="end"/>
      </w:r>
      <w:r>
        <w:rPr>
          <w:lang w:eastAsia="zh-CN"/>
        </w:rPr>
        <w:pict>
          <v:shape id="文本框 1" o:spid="_x0000_s1026" o:spt="202" type="#_x0000_t202" style="position:absolute;left:0pt;margin-left:42.55pt;margin-top:28.3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eSKm/TAAAACQEAAA8AAAAAAAAAAQAgAAAAIgAA&#10;AGRycy9kb3ducmV2LnhtbFBLAQIUABQAAAAIAIdO4kB2NpDiRgIAAFkEAAAOAAAAAAAAAAEAIAAA&#10;ACIBAABkcnMvZTJvRG9jLnhtbFBLBQYAAAAABgAGAFkBAADaBQAAAAA=&#10;">
            <v:path/>
            <v:fill on="t" focussize="0,0"/>
            <v:stroke on="f" weight="0.5pt"/>
            <v:imagedata o:title=""/>
            <o:lock v:ext="edit" aspectratio="f"/>
            <v:textbo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w:r>
      <w:r>
        <w:rPr>
          <w:rFonts w:hint="eastAsia" w:ascii="黑体" w:hAnsi="黑体" w:eastAsia="黑体"/>
          <w:sz w:val="32"/>
          <w:szCs w:val="32"/>
          <w:highlight w:val="none"/>
        </w:rPr>
        <w:t>上海建桥学院课程教学进度计划表</w:t>
      </w:r>
    </w:p>
    <w:p>
      <w:pPr>
        <w:snapToGrid w:val="0"/>
        <w:spacing w:beforeLines="50" w:afterLines="50"/>
        <w:rPr>
          <w:rFonts w:ascii="仿宋" w:hAnsi="仿宋" w:eastAsia="仿宋"/>
          <w:b/>
          <w:color w:val="000000"/>
          <w:sz w:val="28"/>
          <w:szCs w:val="28"/>
          <w:highlight w:val="none"/>
        </w:rPr>
      </w:pPr>
      <w:r>
        <w:rPr>
          <w:rFonts w:ascii="仿宋" w:hAnsi="仿宋" w:eastAsia="仿宋"/>
          <w:b/>
          <w:color w:val="000000"/>
          <w:sz w:val="28"/>
          <w:szCs w:val="28"/>
          <w:highlight w:val="none"/>
        </w:rPr>
        <w:t>一</w:t>
      </w:r>
      <w:r>
        <w:rPr>
          <w:rFonts w:hint="eastAsia" w:ascii="仿宋" w:hAnsi="仿宋" w:eastAsia="仿宋"/>
          <w:b/>
          <w:color w:val="000000"/>
          <w:sz w:val="28"/>
          <w:szCs w:val="28"/>
          <w:highlight w:val="none"/>
        </w:rPr>
        <w:t>、</w:t>
      </w:r>
      <w:r>
        <w:rPr>
          <w:rFonts w:ascii="仿宋" w:hAnsi="仿宋" w:eastAsia="仿宋"/>
          <w:b/>
          <w:color w:val="000000"/>
          <w:sz w:val="28"/>
          <w:szCs w:val="28"/>
          <w:highlight w:val="none"/>
        </w:rPr>
        <w:t>基本信息</w:t>
      </w:r>
    </w:p>
    <w:tbl>
      <w:tblPr>
        <w:tblStyle w:val="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118"/>
        <w:gridCol w:w="170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Cs w:val="21"/>
                <w:highlight w:val="none"/>
              </w:rPr>
            </w:pPr>
            <w:r>
              <w:rPr>
                <w:rFonts w:ascii="黑体" w:hAnsi="黑体" w:eastAsia="黑体"/>
                <w:bCs/>
                <w:color w:val="000000"/>
                <w:szCs w:val="21"/>
                <w:highlight w:val="none"/>
              </w:rPr>
              <w:t>课程代码</w:t>
            </w:r>
          </w:p>
        </w:tc>
        <w:tc>
          <w:tcPr>
            <w:tcW w:w="3118"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rPr>
              <w:t>203050</w:t>
            </w:r>
            <w:r>
              <w:rPr>
                <w:rFonts w:hint="eastAsia" w:ascii="宋体" w:hAnsi="宋体" w:eastAsia="宋体"/>
                <w:szCs w:val="21"/>
                <w:highlight w:val="none"/>
                <w:lang w:val="en-US" w:eastAsia="zh-CN"/>
              </w:rPr>
              <w:t>3</w:t>
            </w:r>
          </w:p>
        </w:tc>
        <w:tc>
          <w:tcPr>
            <w:tcW w:w="1701" w:type="dxa"/>
            <w:vAlign w:val="center"/>
          </w:tcPr>
          <w:p>
            <w:pPr>
              <w:tabs>
                <w:tab w:val="left" w:pos="532"/>
              </w:tabs>
              <w:spacing w:line="340" w:lineRule="exact"/>
              <w:jc w:val="center"/>
              <w:rPr>
                <w:rFonts w:ascii="黑体" w:hAnsi="黑体" w:eastAsia="黑体"/>
                <w:szCs w:val="21"/>
                <w:highlight w:val="none"/>
              </w:rPr>
            </w:pPr>
            <w:r>
              <w:rPr>
                <w:rFonts w:ascii="黑体" w:hAnsi="黑体" w:eastAsia="黑体"/>
                <w:kern w:val="0"/>
                <w:szCs w:val="21"/>
                <w:highlight w:val="none"/>
              </w:rPr>
              <w:t>课程名称</w:t>
            </w:r>
          </w:p>
        </w:tc>
        <w:tc>
          <w:tcPr>
            <w:tcW w:w="2552"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数据信息与可视化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Cs w:val="21"/>
                <w:highlight w:val="none"/>
              </w:rPr>
            </w:pPr>
            <w:r>
              <w:rPr>
                <w:rFonts w:hint="eastAsia" w:ascii="黑体" w:hAnsi="黑体" w:eastAsia="黑体"/>
                <w:kern w:val="0"/>
                <w:szCs w:val="21"/>
                <w:highlight w:val="none"/>
              </w:rPr>
              <w:t>课程学分</w:t>
            </w:r>
          </w:p>
        </w:tc>
        <w:tc>
          <w:tcPr>
            <w:tcW w:w="3118"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3</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bCs/>
                <w:color w:val="000000"/>
                <w:szCs w:val="21"/>
                <w:highlight w:val="none"/>
              </w:rPr>
              <w:t>总学时</w:t>
            </w:r>
          </w:p>
        </w:tc>
        <w:tc>
          <w:tcPr>
            <w:tcW w:w="2552" w:type="dxa"/>
            <w:vAlign w:val="center"/>
          </w:tcPr>
          <w:p>
            <w:pPr>
              <w:tabs>
                <w:tab w:val="left" w:pos="532"/>
              </w:tabs>
              <w:spacing w:line="340" w:lineRule="exact"/>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ascii="黑体" w:hAnsi="黑体" w:eastAsia="黑体"/>
                <w:kern w:val="0"/>
                <w:szCs w:val="21"/>
                <w:highlight w:val="none"/>
              </w:rPr>
              <w:t>授课教</w:t>
            </w:r>
            <w:r>
              <w:rPr>
                <w:rFonts w:hint="eastAsia" w:ascii="黑体" w:hAnsi="黑体" w:eastAsia="黑体"/>
                <w:kern w:val="0"/>
                <w:szCs w:val="21"/>
                <w:highlight w:val="none"/>
              </w:rPr>
              <w:t>师</w:t>
            </w:r>
          </w:p>
        </w:tc>
        <w:tc>
          <w:tcPr>
            <w:tcW w:w="3118"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蔡福恩</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ascii="黑体" w:hAnsi="黑体" w:eastAsia="黑体"/>
                <w:kern w:val="0"/>
                <w:szCs w:val="21"/>
                <w:highlight w:val="none"/>
              </w:rPr>
              <w:t>教师邮箱</w:t>
            </w:r>
          </w:p>
        </w:tc>
        <w:tc>
          <w:tcPr>
            <w:tcW w:w="2552"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14057@gench.edu.cn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szCs w:val="21"/>
                <w:highlight w:val="none"/>
              </w:rPr>
              <w:t>上课</w:t>
            </w:r>
            <w:r>
              <w:rPr>
                <w:rFonts w:hint="eastAsia" w:ascii="黑体" w:hAnsi="黑体" w:eastAsia="黑体"/>
                <w:kern w:val="0"/>
                <w:szCs w:val="21"/>
                <w:highlight w:val="none"/>
              </w:rPr>
              <w:t>班级</w:t>
            </w:r>
          </w:p>
        </w:tc>
        <w:tc>
          <w:tcPr>
            <w:tcW w:w="3118" w:type="dxa"/>
            <w:vAlign w:val="center"/>
          </w:tcPr>
          <w:p>
            <w:pPr>
              <w:tabs>
                <w:tab w:val="left" w:pos="532"/>
              </w:tabs>
              <w:spacing w:line="340" w:lineRule="exact"/>
              <w:jc w:val="center"/>
              <w:rPr>
                <w:rFonts w:hint="default" w:ascii="宋体" w:hAnsi="宋体" w:eastAsia="宋体"/>
                <w:szCs w:val="21"/>
                <w:highlight w:val="none"/>
                <w:lang w:val="en-US" w:eastAsia="zh-CN"/>
              </w:rPr>
            </w:pPr>
            <w:r>
              <w:rPr>
                <w:rFonts w:hint="eastAsia" w:ascii="宋体" w:hAnsi="宋体" w:eastAsia="宋体"/>
                <w:szCs w:val="21"/>
                <w:highlight w:val="none"/>
                <w:lang w:eastAsia="zh-CN"/>
              </w:rPr>
              <w:t>新媒体</w:t>
            </w:r>
            <w:r>
              <w:rPr>
                <w:rFonts w:hint="eastAsia" w:ascii="宋体" w:hAnsi="宋体" w:eastAsia="宋体"/>
                <w:szCs w:val="21"/>
                <w:highlight w:val="none"/>
                <w:lang w:val="en-US" w:eastAsia="zh-CN"/>
              </w:rPr>
              <w:t>B19-1 新媒体B19-2</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上课教室</w:t>
            </w:r>
          </w:p>
        </w:tc>
        <w:tc>
          <w:tcPr>
            <w:tcW w:w="2552"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二教410</w:t>
            </w:r>
          </w:p>
          <w:p>
            <w:pPr>
              <w:tabs>
                <w:tab w:val="left" w:pos="532"/>
              </w:tabs>
              <w:spacing w:line="340" w:lineRule="exact"/>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三教103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答疑时间</w:t>
            </w:r>
          </w:p>
        </w:tc>
        <w:tc>
          <w:tcPr>
            <w:tcW w:w="7371" w:type="dxa"/>
            <w:gridSpan w:val="3"/>
            <w:vAlign w:val="center"/>
          </w:tcPr>
          <w:p>
            <w:pPr>
              <w:tabs>
                <w:tab w:val="left" w:pos="532"/>
              </w:tabs>
              <w:spacing w:line="340" w:lineRule="exact"/>
              <w:rPr>
                <w:rFonts w:hint="default" w:ascii="黑体" w:hAnsi="黑体" w:eastAsia="黑体"/>
                <w:kern w:val="0"/>
                <w:szCs w:val="21"/>
                <w:highlight w:val="none"/>
                <w:lang w:val="en-US"/>
              </w:rPr>
            </w:pPr>
            <w:r>
              <w:rPr>
                <w:rFonts w:hint="eastAsia" w:ascii="宋体" w:hAnsi="宋体" w:eastAsia="宋体"/>
                <w:szCs w:val="21"/>
                <w:highlight w:val="none"/>
                <w:lang w:val="en-US" w:eastAsia="zh-CN"/>
              </w:rPr>
              <w:t>时间 : 周一3-4节（10:00-11：35）    地点: 学院楼210  电话：68191288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主要教材</w:t>
            </w:r>
          </w:p>
        </w:tc>
        <w:tc>
          <w:tcPr>
            <w:tcW w:w="7371" w:type="dxa"/>
            <w:gridSpan w:val="3"/>
            <w:vAlign w:val="center"/>
          </w:tcPr>
          <w:p>
            <w:pPr>
              <w:tabs>
                <w:tab w:val="left" w:pos="532"/>
              </w:tabs>
              <w:spacing w:line="340" w:lineRule="exact"/>
              <w:rPr>
                <w:rFonts w:hint="eastAsia" w:ascii="宋体" w:hAnsi="宋体" w:eastAsiaTheme="minorEastAsia"/>
                <w:kern w:val="0"/>
                <w:szCs w:val="21"/>
                <w:highlight w:val="none"/>
                <w:lang w:eastAsia="zh-CN"/>
              </w:rPr>
            </w:pPr>
            <w:r>
              <w:rPr>
                <w:rFonts w:hint="eastAsia" w:ascii="宋体" w:hAnsi="宋体" w:eastAsiaTheme="minorEastAsia"/>
                <w:kern w:val="0"/>
                <w:szCs w:val="21"/>
                <w:highlight w:val="none"/>
                <w:lang w:eastAsia="zh-CN"/>
              </w:rPr>
              <w:t>《</w:t>
            </w:r>
            <w:r>
              <w:rPr>
                <w:rFonts w:hint="eastAsia" w:ascii="宋体" w:hAnsi="宋体" w:eastAsiaTheme="minorEastAsia"/>
                <w:kern w:val="0"/>
                <w:szCs w:val="21"/>
                <w:highlight w:val="none"/>
                <w:lang w:val="en-US" w:eastAsia="zh-CN"/>
              </w:rPr>
              <w:t>Tableau商业分析一点通</w:t>
            </w:r>
            <w:r>
              <w:rPr>
                <w:rFonts w:hint="eastAsia" w:ascii="宋体" w:hAnsi="宋体" w:eastAsiaTheme="minorEastAsia"/>
                <w:kern w:val="0"/>
                <w:szCs w:val="21"/>
                <w:highlight w:val="none"/>
                <w:lang w:eastAsia="zh-CN"/>
              </w:rPr>
              <w:t>》，美智讯，电子工业出版社</w:t>
            </w:r>
            <w:r>
              <w:rPr>
                <w:rFonts w:hint="eastAsia" w:ascii="宋体" w:hAnsi="宋体" w:eastAsiaTheme="minorEastAsia"/>
                <w:kern w:val="0"/>
                <w:szCs w:val="21"/>
                <w:highlight w:val="none"/>
                <w:lang w:val="en-US" w:eastAsia="zh-CN"/>
              </w:rPr>
              <w:t>2018年6月第1版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参考资料</w:t>
            </w:r>
          </w:p>
        </w:tc>
        <w:tc>
          <w:tcPr>
            <w:tcW w:w="7371" w:type="dxa"/>
            <w:gridSpan w:val="3"/>
            <w:vAlign w:val="center"/>
          </w:tcPr>
          <w:p>
            <w:pPr>
              <w:tabs>
                <w:tab w:val="left" w:pos="532"/>
              </w:tabs>
              <w:spacing w:line="340" w:lineRule="exac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eastAsia="zh-CN"/>
              </w:rPr>
              <w:t>《数据可视化与数据挖掘：基于</w:t>
            </w:r>
            <w:r>
              <w:rPr>
                <w:rFonts w:hint="eastAsia" w:ascii="宋体" w:hAnsi="宋体" w:eastAsia="宋体"/>
                <w:color w:val="000000"/>
                <w:sz w:val="21"/>
                <w:szCs w:val="21"/>
                <w:highlight w:val="none"/>
                <w:lang w:val="en-US" w:eastAsia="zh-CN"/>
              </w:rPr>
              <w:t>Tableau和SPSS Modeler图形界面</w:t>
            </w:r>
            <w:r>
              <w:rPr>
                <w:rFonts w:hint="eastAsia" w:ascii="宋体" w:hAnsi="宋体" w:eastAsia="宋体"/>
                <w:color w:val="000000"/>
                <w:sz w:val="21"/>
                <w:szCs w:val="21"/>
                <w:highlight w:val="none"/>
                <w:lang w:eastAsia="zh-CN"/>
              </w:rPr>
              <w:t>》王国平著</w:t>
            </w:r>
            <w:r>
              <w:rPr>
                <w:rFonts w:hint="eastAsia" w:ascii="宋体" w:hAnsi="宋体" w:eastAsia="宋体"/>
                <w:color w:val="000000"/>
                <w:sz w:val="21"/>
                <w:szCs w:val="21"/>
                <w:highlight w:val="none"/>
                <w:lang w:val="en-US" w:eastAsia="zh-CN"/>
              </w:rPr>
              <w:t xml:space="preserve"> 电子工业出版社2017年11月第1版</w:t>
            </w:r>
          </w:p>
          <w:p>
            <w:pPr>
              <w:tabs>
                <w:tab w:val="left" w:pos="532"/>
              </w:tabs>
              <w:spacing w:line="340" w:lineRule="exact"/>
              <w:rPr>
                <w:rFonts w:ascii="宋体" w:hAnsi="宋体"/>
                <w:kern w:val="0"/>
                <w:szCs w:val="21"/>
                <w:highlight w:val="none"/>
              </w:rPr>
            </w:pPr>
            <w:r>
              <w:rPr>
                <w:rFonts w:hint="eastAsia" w:ascii="宋体" w:hAnsi="宋体" w:eastAsia="宋体"/>
                <w:color w:val="000000"/>
                <w:sz w:val="21"/>
                <w:szCs w:val="21"/>
                <w:highlight w:val="none"/>
                <w:lang w:val="en-US" w:eastAsia="zh-CN"/>
              </w:rPr>
              <w:t>《数据分析与数据挖掘使用教程》殷复莲编著 中国传媒出版社 2017年9月第1版</w:t>
            </w:r>
          </w:p>
        </w:tc>
      </w:tr>
    </w:tbl>
    <w:p>
      <w:pPr>
        <w:snapToGrid w:val="0"/>
        <w:spacing w:line="340" w:lineRule="exact"/>
        <w:rPr>
          <w:rFonts w:ascii="Calibri" w:hAnsi="Calibri" w:eastAsia="宋体"/>
          <w:b/>
          <w:color w:val="000000"/>
          <w:szCs w:val="20"/>
          <w:highlight w:val="none"/>
        </w:rPr>
      </w:pPr>
    </w:p>
    <w:p>
      <w:pPr>
        <w:snapToGrid w:val="0"/>
        <w:spacing w:beforeLines="50" w:afterLines="50"/>
        <w:rPr>
          <w:rFonts w:ascii="仿宋" w:hAnsi="仿宋" w:eastAsia="仿宋"/>
          <w:b/>
          <w:color w:val="000000"/>
          <w:sz w:val="28"/>
          <w:szCs w:val="28"/>
          <w:highlight w:val="none"/>
        </w:rPr>
      </w:pPr>
      <w:r>
        <w:rPr>
          <w:rFonts w:hint="eastAsia" w:ascii="仿宋" w:hAnsi="仿宋" w:eastAsia="仿宋"/>
          <w:b/>
          <w:color w:val="000000"/>
          <w:sz w:val="28"/>
          <w:szCs w:val="28"/>
          <w:highlight w:val="none"/>
        </w:rPr>
        <w:t>二、课程教学进度</w:t>
      </w:r>
    </w:p>
    <w:tbl>
      <w:tblPr>
        <w:tblStyle w:val="8"/>
        <w:tblW w:w="8789" w:type="dxa"/>
        <w:tblInd w:w="108" w:type="dxa"/>
        <w:tblLayout w:type="fixed"/>
        <w:tblCellMar>
          <w:top w:w="0" w:type="dxa"/>
          <w:left w:w="0" w:type="dxa"/>
          <w:bottom w:w="0" w:type="dxa"/>
          <w:right w:w="0" w:type="dxa"/>
        </w:tblCellMar>
      </w:tblPr>
      <w:tblGrid>
        <w:gridCol w:w="856"/>
        <w:gridCol w:w="3867"/>
        <w:gridCol w:w="2081"/>
        <w:gridCol w:w="1985"/>
      </w:tblGrid>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color w:val="000000" w:themeColor="text1"/>
                <w:kern w:val="0"/>
                <w:szCs w:val="21"/>
                <w:highlight w:val="none"/>
              </w:rPr>
            </w:pPr>
            <w:r>
              <w:rPr>
                <w:rFonts w:hint="eastAsia" w:ascii="黑体" w:hAnsi="黑体" w:eastAsia="黑体"/>
                <w:color w:val="000000" w:themeColor="text1"/>
                <w:kern w:val="0"/>
                <w:szCs w:val="21"/>
                <w:highlight w:val="none"/>
              </w:rPr>
              <w:t>周次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color w:val="000000" w:themeColor="text1"/>
                <w:kern w:val="0"/>
                <w:szCs w:val="21"/>
                <w:highlight w:val="none"/>
              </w:rPr>
            </w:pPr>
            <w:r>
              <w:rPr>
                <w:rFonts w:hint="eastAsia" w:ascii="黑体" w:hAnsi="黑体" w:eastAsia="黑体"/>
                <w:color w:val="000000" w:themeColor="text1"/>
                <w:kern w:val="0"/>
                <w:szCs w:val="21"/>
                <w:highlight w:val="none"/>
              </w:rPr>
              <w:t>教学内容</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color w:val="000000" w:themeColor="text1"/>
                <w:kern w:val="0"/>
                <w:szCs w:val="21"/>
                <w:highlight w:val="none"/>
              </w:rPr>
            </w:pPr>
            <w:r>
              <w:rPr>
                <w:rFonts w:hint="eastAsia" w:ascii="黑体" w:hAnsi="黑体" w:eastAsia="黑体"/>
                <w:color w:val="000000" w:themeColor="text1"/>
                <w:kern w:val="0"/>
                <w:szCs w:val="21"/>
                <w:highlight w:val="none"/>
              </w:rPr>
              <w:t>教学方式</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color w:val="000000" w:themeColor="text1"/>
                <w:kern w:val="0"/>
                <w:szCs w:val="21"/>
                <w:highlight w:val="none"/>
              </w:rPr>
            </w:pPr>
            <w:r>
              <w:rPr>
                <w:rFonts w:hint="eastAsia" w:ascii="黑体" w:hAnsi="黑体" w:eastAsia="黑体"/>
                <w:color w:val="000000" w:themeColor="text1"/>
                <w:kern w:val="0"/>
                <w:szCs w:val="21"/>
                <w:highlight w:val="none"/>
              </w:rPr>
              <w:t>作业</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default" w:ascii="宋体" w:hAnsi="宋体" w:eastAsia="宋体" w:cs="宋体"/>
                <w:color w:val="000000" w:themeColor="text1"/>
                <w:kern w:val="0"/>
                <w:sz w:val="21"/>
                <w:szCs w:val="21"/>
                <w:highlight w:val="none"/>
                <w:lang w:val="en-US" w:eastAsia="zh-CN"/>
              </w:rPr>
            </w:pPr>
            <w:r>
              <w:rPr>
                <w:rFonts w:hint="eastAsia" w:ascii="宋体" w:hAnsi="宋体" w:eastAsia="宋体" w:cs="宋体"/>
                <w:color w:val="000000" w:themeColor="text1"/>
                <w:sz w:val="21"/>
                <w:szCs w:val="21"/>
                <w:highlight w:val="none"/>
              </w:rPr>
              <w:t>1</w:t>
            </w:r>
            <w:r>
              <w:rPr>
                <w:rFonts w:hint="eastAsia" w:ascii="宋体" w:hAnsi="宋体" w:eastAsia="宋体" w:cs="宋体"/>
                <w:color w:val="000000" w:themeColor="text1"/>
                <w:sz w:val="21"/>
                <w:szCs w:val="21"/>
                <w:highlight w:val="none"/>
                <w:lang w:eastAsia="zh-CN"/>
              </w:rPr>
              <w:t>周</w:t>
            </w:r>
            <w:r>
              <w:rPr>
                <w:rFonts w:hint="eastAsia" w:ascii="宋体" w:hAnsi="宋体" w:eastAsia="宋体" w:cs="宋体"/>
                <w:color w:val="000000" w:themeColor="text1"/>
                <w:sz w:val="21"/>
                <w:szCs w:val="21"/>
                <w:highlight w:val="none"/>
                <w:lang w:val="en-US" w:eastAsia="zh-CN"/>
              </w:rPr>
              <w:t>1次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介绍本课程整体框架与内容</w:t>
            </w:r>
          </w:p>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介绍本课程的1+X考核内容</w:t>
            </w:r>
          </w:p>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结合案例讲解数据的概念与分类</w:t>
            </w:r>
          </w:p>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结合案例讲解数据分析的概念与流程</w:t>
            </w:r>
          </w:p>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介绍数据可视化的应用领域</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讲授、讨论</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根据同学们的意愿、兴趣和研究方向进行分组，形成数据分析报告小组，每组2人。课代表在下一次课将分组名单提交给任课教师。</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default" w:ascii="宋体" w:hAnsi="宋体" w:eastAsia="宋体" w:cs="宋体"/>
                <w:color w:val="000000" w:themeColor="text1"/>
                <w:kern w:val="0"/>
                <w:sz w:val="21"/>
                <w:szCs w:val="21"/>
                <w:highlight w:val="none"/>
                <w:lang w:val="en-US" w:eastAsia="zh-CN"/>
              </w:rPr>
            </w:pPr>
            <w:r>
              <w:rPr>
                <w:rFonts w:hint="eastAsia" w:ascii="宋体" w:hAnsi="宋体" w:eastAsia="宋体"/>
                <w:color w:val="000000"/>
                <w:sz w:val="21"/>
                <w:szCs w:val="21"/>
                <w:highlight w:val="none"/>
              </w:rPr>
              <w:t>2</w:t>
            </w:r>
            <w:r>
              <w:rPr>
                <w:rFonts w:hint="eastAsia" w:ascii="宋体" w:hAnsi="宋体" w:eastAsia="宋体"/>
                <w:color w:val="000000"/>
                <w:sz w:val="21"/>
                <w:szCs w:val="21"/>
                <w:highlight w:val="none"/>
                <w:lang w:eastAsia="zh-CN"/>
              </w:rPr>
              <w:t>周</w:t>
            </w:r>
            <w:r>
              <w:rPr>
                <w:rFonts w:hint="eastAsia" w:ascii="宋体" w:hAnsi="宋体" w:eastAsia="宋体"/>
                <w:color w:val="000000"/>
                <w:sz w:val="21"/>
                <w:szCs w:val="21"/>
                <w:highlight w:val="none"/>
                <w:lang w:val="en-US" w:eastAsia="zh-CN"/>
              </w:rPr>
              <w:t>1次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讲解查询和获取公开发表数据的三种方法</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介绍查询和获取公开数据的六个信息源</w:t>
            </w:r>
          </w:p>
          <w:p>
            <w:pPr>
              <w:widowControl/>
              <w:jc w:val="both"/>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结合案例分析如何使用不同信息源的公开数据进行数据分析报告的撰写</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尝试在“国家数据”网站上查询国家各部门的数据，探索小组数据分析报告的选题。</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default" w:ascii="宋体" w:hAnsi="宋体" w:eastAsia="宋体" w:cs="宋体"/>
                <w:color w:val="000000" w:themeColor="text1"/>
                <w:kern w:val="0"/>
                <w:sz w:val="21"/>
                <w:szCs w:val="21"/>
                <w:highlight w:val="none"/>
                <w:lang w:val="en-US" w:eastAsia="zh-CN"/>
              </w:rPr>
            </w:pPr>
            <w:r>
              <w:rPr>
                <w:rFonts w:hint="eastAsia" w:ascii="宋体" w:hAnsi="宋体" w:eastAsia="宋体"/>
                <w:color w:val="000000"/>
                <w:sz w:val="21"/>
                <w:szCs w:val="21"/>
                <w:highlight w:val="none"/>
                <w:lang w:val="en-US" w:eastAsia="zh-CN"/>
              </w:rPr>
              <w:t>2周2次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介绍CNKI E-Study软件的安装、使用、在网络数据挖掘与分析方面的作用</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介绍火车采集器的安装、使用、批量爬取数据的方法、应用及批量爬取数据的原理</w:t>
            </w:r>
          </w:p>
          <w:p>
            <w:pPr>
              <w:widowControl/>
              <w:jc w:val="both"/>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介绍八爪鱼采集器的安装、使用、构建Codebook（编码薄）的方法</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课堂讲授、案例分析、讨论答疑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Arial"/>
                <w:kern w:val="0"/>
                <w:sz w:val="21"/>
                <w:szCs w:val="21"/>
                <w:highlight w:val="none"/>
                <w:lang w:eastAsia="zh-CN"/>
              </w:rPr>
            </w:pPr>
            <w:r>
              <w:rPr>
                <w:rFonts w:hint="eastAsia" w:ascii="宋体" w:hAnsi="宋体" w:eastAsia="宋体" w:cs="Arial"/>
                <w:kern w:val="0"/>
                <w:sz w:val="21"/>
                <w:szCs w:val="21"/>
                <w:highlight w:val="none"/>
                <w:lang w:eastAsia="zh-CN"/>
              </w:rPr>
              <w:t>1、在自己电脑上安装CNKI E-Study，就“网络数据挖掘与分析”主题，构建自己的文献库。</w:t>
            </w:r>
          </w:p>
          <w:p>
            <w:pPr>
              <w:widowControl/>
              <w:jc w:val="center"/>
              <w:rPr>
                <w:rFonts w:hint="eastAsia" w:ascii="宋体" w:hAnsi="宋体" w:eastAsia="宋体" w:cs="宋体"/>
                <w:color w:val="000000" w:themeColor="text1"/>
                <w:kern w:val="0"/>
                <w:sz w:val="21"/>
                <w:szCs w:val="21"/>
                <w:highlight w:val="none"/>
                <w:lang w:eastAsia="zh-CN"/>
              </w:rPr>
            </w:pPr>
            <w:r>
              <w:rPr>
                <w:rFonts w:hint="eastAsia" w:ascii="宋体" w:hAnsi="宋体" w:eastAsia="宋体" w:cs="Arial"/>
                <w:kern w:val="0"/>
                <w:sz w:val="21"/>
                <w:szCs w:val="21"/>
                <w:highlight w:val="none"/>
                <w:lang w:eastAsia="zh-CN"/>
              </w:rPr>
              <w:t>2、在自己电脑上安装八爪鱼采集器，就各小组选题在八爪鱼简易采集模式中的搜狗搜索和知网项目，进行选题Codebook（编码薄）的构建。</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default" w:ascii="宋体" w:hAnsi="宋体" w:eastAsia="宋体" w:cs="宋体"/>
                <w:color w:val="000000" w:themeColor="text1"/>
                <w:kern w:val="0"/>
                <w:sz w:val="21"/>
                <w:szCs w:val="21"/>
                <w:highlight w:val="none"/>
                <w:lang w:val="en-US" w:eastAsia="zh-CN"/>
              </w:rPr>
            </w:pPr>
            <w:r>
              <w:rPr>
                <w:rFonts w:hint="eastAsia" w:ascii="宋体" w:hAnsi="宋体" w:eastAsia="宋体"/>
                <w:color w:val="000000"/>
                <w:sz w:val="21"/>
                <w:szCs w:val="21"/>
                <w:highlight w:val="none"/>
                <w:lang w:val="en-US" w:eastAsia="zh-CN"/>
              </w:rPr>
              <w:t>3周1次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掌握采集未公开发表的数据的三种方法</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掌握申请政府信息公开的步骤</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掌握调查问卷设计的方法与技巧</w:t>
            </w:r>
          </w:p>
          <w:p>
            <w:pPr>
              <w:widowControl/>
              <w:jc w:val="both"/>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掌握使用“众包”的方式来采集数据</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课堂讲授、案例分析、讨论答疑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lang w:eastAsia="zh-CN"/>
              </w:rPr>
            </w:pPr>
            <w:r>
              <w:rPr>
                <w:rFonts w:hint="eastAsia" w:ascii="宋体" w:hAnsi="宋体" w:eastAsia="宋体" w:cs="Arial"/>
                <w:kern w:val="0"/>
                <w:sz w:val="21"/>
                <w:szCs w:val="21"/>
                <w:highlight w:val="none"/>
                <w:lang w:eastAsia="zh-CN"/>
              </w:rPr>
              <w:t>结合选题需要，尝试使用政府信息公开申请的方式向有关行政机构进行数据信息的索取。</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default" w:ascii="宋体" w:hAnsi="宋体" w:eastAsia="宋体" w:cs="宋体"/>
                <w:color w:val="000000" w:themeColor="text1"/>
                <w:kern w:val="0"/>
                <w:sz w:val="21"/>
                <w:szCs w:val="21"/>
                <w:highlight w:val="none"/>
                <w:lang w:val="en-US" w:eastAsia="zh-CN"/>
              </w:rPr>
            </w:pPr>
            <w:r>
              <w:rPr>
                <w:rFonts w:hint="eastAsia" w:ascii="宋体" w:hAnsi="宋体" w:eastAsia="宋体"/>
                <w:color w:val="000000"/>
                <w:sz w:val="21"/>
                <w:szCs w:val="21"/>
                <w:highlight w:val="none"/>
                <w:lang w:val="en-US" w:eastAsia="zh-CN"/>
              </w:rPr>
              <w:t>4周1次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介绍统计分析概述</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讲解单变量描述统计分析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讲解多变量描述统计分析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讲解推断统计分析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讲解问卷调查的统计分析思路</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结合案例介绍数据分析时实用的数据分析方法</w:t>
            </w:r>
          </w:p>
          <w:p>
            <w:pPr>
              <w:widowControl/>
              <w:jc w:val="both"/>
              <w:rPr>
                <w:rFonts w:hint="eastAsia" w:ascii="宋体" w:hAnsi="宋体" w:eastAsia="宋体" w:cs="宋体"/>
                <w:color w:val="000000" w:themeColor="text1"/>
                <w:sz w:val="21"/>
                <w:szCs w:val="21"/>
                <w:highlight w:val="none"/>
                <w:lang w:val="en-US" w:eastAsia="zh-CN"/>
              </w:rPr>
            </w:pP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课堂讲授、案例分析、讨论答疑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lang w:eastAsia="zh-CN"/>
              </w:rPr>
            </w:pPr>
            <w:r>
              <w:rPr>
                <w:rFonts w:hint="eastAsia" w:ascii="宋体" w:hAnsi="宋体" w:eastAsia="宋体" w:cs="Arial"/>
                <w:kern w:val="0"/>
                <w:sz w:val="21"/>
                <w:szCs w:val="21"/>
                <w:highlight w:val="none"/>
                <w:lang w:val="en-US" w:eastAsia="zh-CN"/>
              </w:rPr>
              <w:t>围绕选题背景、选题意义、内容结构、数据来源、数据分析方法来撰写数据分析报告摘要，周日前将以小组同学名字命名的摘要（word格式）发给课代表，课代表收齐后打包发给任课教师。</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default" w:ascii="宋体" w:hAnsi="宋体" w:eastAsia="宋体" w:cs="宋体"/>
                <w:color w:val="000000" w:themeColor="text1"/>
                <w:kern w:val="0"/>
                <w:sz w:val="21"/>
                <w:szCs w:val="21"/>
                <w:highlight w:val="none"/>
                <w:lang w:val="en-US" w:eastAsia="zh-CN"/>
              </w:rPr>
            </w:pPr>
            <w:r>
              <w:rPr>
                <w:rFonts w:hint="eastAsia" w:ascii="宋体" w:hAnsi="宋体" w:eastAsia="宋体"/>
                <w:color w:val="000000"/>
                <w:sz w:val="21"/>
                <w:szCs w:val="21"/>
                <w:highlight w:val="none"/>
                <w:lang w:val="en-US" w:eastAsia="zh-CN"/>
              </w:rPr>
              <w:t>4周2次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通过案例讲解处理数值数据的方法</w:t>
            </w:r>
          </w:p>
          <w:p>
            <w:pPr>
              <w:widowControl/>
              <w:jc w:val="both"/>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通过案例讲解处理文本数据的方法</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课堂讲授、案例分析、讨论答疑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eastAsia="宋体" w:cs="宋体"/>
                <w:color w:val="000000" w:themeColor="text1"/>
                <w:kern w:val="0"/>
                <w:sz w:val="21"/>
                <w:szCs w:val="21"/>
                <w:highlight w:val="none"/>
                <w:lang w:eastAsia="zh-CN"/>
              </w:rPr>
            </w:pPr>
            <w:r>
              <w:rPr>
                <w:rFonts w:hint="eastAsia" w:ascii="宋体" w:hAnsi="宋体"/>
                <w:sz w:val="21"/>
                <w:szCs w:val="21"/>
                <w:highlight w:val="none"/>
                <w:lang w:val="en-US" w:eastAsia="zh-CN"/>
              </w:rPr>
              <w:t>结合各组选题，在《导入Tableau的数据模板（Codebook）》中构建自己小组数值数据和文本数据的编码薄。</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default" w:ascii="宋体" w:hAnsi="宋体" w:eastAsia="宋体" w:cs="宋体"/>
                <w:b/>
                <w:bCs/>
                <w:color w:val="000000" w:themeColor="text1"/>
                <w:kern w:val="0"/>
                <w:sz w:val="21"/>
                <w:szCs w:val="21"/>
                <w:highlight w:val="none"/>
                <w:lang w:val="en-US" w:eastAsia="zh-CN"/>
              </w:rPr>
            </w:pPr>
            <w:r>
              <w:rPr>
                <w:rFonts w:hint="eastAsia" w:ascii="宋体" w:hAnsi="宋体" w:eastAsia="宋体"/>
                <w:color w:val="000000"/>
                <w:sz w:val="21"/>
                <w:szCs w:val="21"/>
                <w:highlight w:val="none"/>
                <w:lang w:val="en-US" w:eastAsia="zh-CN"/>
              </w:rPr>
              <w:t>5周1次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eastAsia="宋体" w:cs="宋体"/>
                <w:b/>
                <w:bCs/>
                <w:color w:val="000000" w:themeColor="text1"/>
                <w:sz w:val="21"/>
                <w:szCs w:val="21"/>
                <w:highlight w:val="none"/>
                <w:lang w:val="en-US" w:eastAsia="zh-CN"/>
              </w:rPr>
            </w:pPr>
            <w:r>
              <w:rPr>
                <w:rFonts w:hint="eastAsia" w:ascii="宋体" w:hAnsi="宋体"/>
                <w:sz w:val="21"/>
                <w:szCs w:val="21"/>
                <w:highlight w:val="none"/>
                <w:lang w:val="en-US" w:eastAsia="zh-CN"/>
              </w:rPr>
              <w:t>数据分析基础知识随堂测验</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随堂测验</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Arial"/>
                <w:kern w:val="0"/>
                <w:sz w:val="21"/>
                <w:szCs w:val="21"/>
                <w:highlight w:val="none"/>
                <w:lang w:val="en-US" w:eastAsia="zh-CN"/>
              </w:rPr>
              <w:t>通过查看随堂测试参考答案，进一步理解和掌握数据分析基础知识。</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default" w:ascii="宋体" w:hAnsi="宋体" w:eastAsia="宋体" w:cs="宋体"/>
                <w:color w:val="000000" w:themeColor="text1"/>
                <w:kern w:val="0"/>
                <w:sz w:val="21"/>
                <w:szCs w:val="21"/>
                <w:highlight w:val="none"/>
                <w:lang w:val="en-US" w:eastAsia="zh-CN"/>
              </w:rPr>
            </w:pPr>
            <w:r>
              <w:rPr>
                <w:rFonts w:hint="eastAsia" w:ascii="宋体" w:hAnsi="宋体" w:eastAsia="宋体"/>
                <w:color w:val="000000"/>
                <w:sz w:val="21"/>
                <w:szCs w:val="21"/>
                <w:highlight w:val="none"/>
                <w:lang w:val="en-US" w:eastAsia="zh-CN"/>
              </w:rPr>
              <w:t>6周1次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演示使用SPSS统计软件对数据进行统计图的绘制。介绍SPSS AU系统。</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课堂讲授、案例分析、讨论答疑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完善小组数据分析报告的编码薄：《导入Tableau的数据模板（Codebook）》。</w:t>
            </w:r>
          </w:p>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课后在自己电脑上安装最新版本的Tableau Public和Tableau Reader软件，教师通过百度网盘提供安装包。</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default" w:ascii="宋体" w:hAnsi="宋体" w:eastAsia="宋体" w:cs="宋体"/>
                <w:color w:val="000000" w:themeColor="text1"/>
                <w:kern w:val="0"/>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6周2次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Tableau软件的安装与激活、数据导入与统计制图。</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0"/>
                <w:sz w:val="21"/>
                <w:szCs w:val="21"/>
                <w:highlight w:val="none"/>
                <w:lang w:eastAsia="zh-CN"/>
              </w:rPr>
              <w:t>预习下一单元</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default" w:ascii="宋体" w:hAnsi="宋体" w:eastAsia="宋体" w:cs="宋体"/>
                <w:color w:val="000000" w:themeColor="text1"/>
                <w:kern w:val="0"/>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7周1次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sz w:val="21"/>
                <w:szCs w:val="21"/>
                <w:highlight w:val="none"/>
                <w:lang w:val="en-US" w:eastAsia="zh-CN"/>
              </w:rPr>
              <w:t>介绍使用Tableau软件进行数据可视化及其构成要素，讲解静态可视化和动态可视化两种报道呈现的方式。</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0"/>
                <w:sz w:val="21"/>
                <w:szCs w:val="21"/>
                <w:highlight w:val="none"/>
                <w:lang w:eastAsia="zh-CN"/>
              </w:rPr>
              <w:t>预习下一单元</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default" w:ascii="宋体" w:hAnsi="宋体" w:eastAsia="宋体" w:cs="宋体"/>
                <w:color w:val="000000" w:themeColor="text1"/>
                <w:kern w:val="0"/>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8周1次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rPr>
                <w:rFonts w:hint="default" w:ascii="宋体" w:hAnsi="宋体" w:eastAsia="宋体" w:cs="宋体"/>
                <w:color w:val="000000" w:themeColor="text1"/>
                <w:kern w:val="0"/>
                <w:sz w:val="21"/>
                <w:szCs w:val="21"/>
                <w:highlight w:val="none"/>
                <w:lang w:val="en-US"/>
              </w:rPr>
            </w:pPr>
            <w:r>
              <w:rPr>
                <w:rFonts w:hint="eastAsia" w:ascii="宋体" w:hAnsi="宋体" w:eastAsia="宋体" w:cs="宋体"/>
                <w:color w:val="000000" w:themeColor="text1"/>
                <w:sz w:val="21"/>
                <w:szCs w:val="21"/>
                <w:highlight w:val="none"/>
                <w:lang w:val="en-US" w:eastAsia="zh-CN"/>
              </w:rPr>
              <w:t>Tableau 基本操作和可视化图形</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0"/>
                <w:sz w:val="21"/>
                <w:szCs w:val="21"/>
                <w:highlight w:val="none"/>
                <w:lang w:eastAsia="zh-CN"/>
              </w:rPr>
              <w:t>预习下一单元</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default" w:ascii="宋体" w:hAnsi="宋体" w:eastAsia="宋体" w:cs="宋体"/>
                <w:color w:val="000000" w:themeColor="text1"/>
                <w:kern w:val="0"/>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rPr>
              <w:t>8周2次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default" w:ascii="宋体" w:hAnsi="宋体" w:eastAsia="宋体" w:cs="宋体"/>
                <w:color w:val="000000" w:themeColor="text1"/>
                <w:kern w:val="0"/>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rPr>
              <w:t>Tableau 地图的应用</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lang w:eastAsia="zh-CN"/>
              </w:rPr>
            </w:pPr>
            <w:r>
              <w:rPr>
                <w:rFonts w:hint="eastAsia" w:ascii="宋体" w:hAnsi="宋体" w:eastAsia="宋体" w:cs="宋体"/>
                <w:color w:val="000000" w:themeColor="text1"/>
                <w:kern w:val="0"/>
                <w:sz w:val="21"/>
                <w:szCs w:val="21"/>
                <w:highlight w:val="none"/>
                <w:lang w:val="en-US" w:eastAsia="zh-CN"/>
              </w:rPr>
              <w:t>练习Tableau地图的绘制</w:t>
            </w:r>
            <w:bookmarkStart w:id="0" w:name="_GoBack"/>
            <w:bookmarkEnd w:id="0"/>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9周1次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rPr>
              <w:t xml:space="preserve">Tableau </w:t>
            </w:r>
            <w:r>
              <w:rPr>
                <w:rFonts w:hint="eastAsia" w:ascii="宋体" w:hAnsi="宋体" w:eastAsia="宋体" w:cs="宋体"/>
                <w:color w:val="000000" w:themeColor="text1"/>
                <w:sz w:val="21"/>
                <w:szCs w:val="21"/>
                <w:highlight w:val="none"/>
                <w:lang w:val="en-US" w:eastAsia="zh-CN"/>
              </w:rPr>
              <w:t>动态仪表板的设计</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sz w:val="21"/>
                <w:szCs w:val="21"/>
                <w:highlight w:val="none"/>
                <w:lang w:val="en-US" w:eastAsia="zh-CN"/>
              </w:rPr>
              <w:t>对小组数据分析报告通过Tableau软件尝试可视化操作。</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10周</w:t>
            </w:r>
          </w:p>
          <w:p>
            <w:pPr>
              <w:widowControl/>
              <w:spacing w:line="240" w:lineRule="auto"/>
              <w:jc w:val="center"/>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实际应用1：中国楼市降温的分析</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sz w:val="21"/>
                <w:szCs w:val="21"/>
                <w:highlight w:val="none"/>
                <w:lang w:val="en-US" w:eastAsia="zh-CN"/>
              </w:rPr>
              <w:t>对小组数据分析报告通过Tableau软件尝试可视化操作。</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10周</w:t>
            </w:r>
          </w:p>
          <w:p>
            <w:pPr>
              <w:widowControl/>
              <w:spacing w:line="240" w:lineRule="auto"/>
              <w:jc w:val="center"/>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实际应用2：</w:t>
            </w:r>
            <w:r>
              <w:rPr>
                <w:rFonts w:hint="eastAsia" w:ascii="宋体" w:hAnsi="宋体" w:eastAsia="宋体" w:cs="宋体"/>
                <w:color w:val="000000" w:themeColor="text1"/>
                <w:kern w:val="0"/>
                <w:sz w:val="21"/>
                <w:szCs w:val="21"/>
                <w:highlight w:val="none"/>
                <w:lang w:val="en-US" w:eastAsia="zh-CN"/>
              </w:rPr>
              <w:t>Tableau 官网访问情况</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sz w:val="21"/>
                <w:szCs w:val="21"/>
                <w:highlight w:val="none"/>
                <w:lang w:val="en-US" w:eastAsia="zh-CN"/>
              </w:rPr>
              <w:t>确定数据分析报告的逻辑性，完成可视化操作。</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11周</w:t>
            </w:r>
          </w:p>
          <w:p>
            <w:pPr>
              <w:widowControl/>
              <w:spacing w:line="240" w:lineRule="auto"/>
              <w:jc w:val="center"/>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实际应用3：伦敦巴士路线可视化</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lang w:eastAsia="zh-CN"/>
              </w:rPr>
              <w:t>完成数据分析报告</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12周</w:t>
            </w:r>
          </w:p>
          <w:p>
            <w:pPr>
              <w:widowControl/>
              <w:spacing w:line="240" w:lineRule="auto"/>
              <w:jc w:val="center"/>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组织第1-4组学生进行数据分析报告</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lang w:val="en-US" w:eastAsia="zh-CN" w:bidi="ar-SA"/>
              </w:rPr>
            </w:pPr>
            <w:r>
              <w:rPr>
                <w:rFonts w:hint="eastAsia" w:ascii="宋体" w:hAnsi="宋体"/>
                <w:sz w:val="21"/>
                <w:szCs w:val="21"/>
                <w:highlight w:val="none"/>
                <w:lang w:val="en-US" w:eastAsia="zh-CN"/>
              </w:rPr>
              <w:t>完成小组数据分析报告的汇报资料。</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12周</w:t>
            </w:r>
          </w:p>
          <w:p>
            <w:pPr>
              <w:widowControl/>
              <w:spacing w:line="240" w:lineRule="auto"/>
              <w:jc w:val="center"/>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组织第5-8组学生进行数据分析报告</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lang w:val="en-US" w:eastAsia="zh-CN" w:bidi="ar-SA"/>
              </w:rPr>
            </w:pPr>
            <w:r>
              <w:rPr>
                <w:rFonts w:hint="eastAsia" w:ascii="宋体" w:hAnsi="宋体"/>
                <w:sz w:val="21"/>
                <w:szCs w:val="21"/>
                <w:highlight w:val="none"/>
                <w:lang w:val="en-US" w:eastAsia="zh-CN"/>
              </w:rPr>
              <w:t>完成小组数据分析报告的汇报资料。</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13周</w:t>
            </w:r>
          </w:p>
          <w:p>
            <w:pPr>
              <w:widowControl/>
              <w:spacing w:line="240" w:lineRule="auto"/>
              <w:jc w:val="center"/>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组织第9-12组学生进行数据分析报告</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lang w:val="en-US" w:eastAsia="zh-CN" w:bidi="ar-SA"/>
              </w:rPr>
            </w:pPr>
            <w:r>
              <w:rPr>
                <w:rFonts w:hint="eastAsia" w:ascii="宋体" w:hAnsi="宋体"/>
                <w:sz w:val="21"/>
                <w:szCs w:val="21"/>
                <w:highlight w:val="none"/>
                <w:lang w:val="en-US" w:eastAsia="zh-CN"/>
              </w:rPr>
              <w:t>完成小组数据分析报告的汇报资料。</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14周</w:t>
            </w:r>
          </w:p>
          <w:p>
            <w:pPr>
              <w:widowControl/>
              <w:spacing w:line="240" w:lineRule="auto"/>
              <w:jc w:val="center"/>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组织第13-16组学生进行数据分析报告</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lang w:val="en-US" w:eastAsia="zh-CN" w:bidi="ar-SA"/>
              </w:rPr>
            </w:pPr>
            <w:r>
              <w:rPr>
                <w:rFonts w:hint="eastAsia" w:ascii="宋体" w:hAnsi="宋体"/>
                <w:sz w:val="21"/>
                <w:szCs w:val="21"/>
                <w:highlight w:val="none"/>
                <w:lang w:val="en-US" w:eastAsia="zh-CN"/>
              </w:rPr>
              <w:t>完成小组数据分析报告的汇报资料。</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14周</w:t>
            </w:r>
          </w:p>
          <w:p>
            <w:pPr>
              <w:widowControl/>
              <w:spacing w:line="240" w:lineRule="auto"/>
              <w:jc w:val="center"/>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组织第17-21组学生进行数据分析报告</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lang w:val="en-US" w:eastAsia="zh-CN" w:bidi="ar-SA"/>
              </w:rPr>
            </w:pPr>
            <w:r>
              <w:rPr>
                <w:rFonts w:hint="eastAsia" w:ascii="宋体" w:hAnsi="宋体"/>
                <w:sz w:val="21"/>
                <w:szCs w:val="21"/>
                <w:highlight w:val="none"/>
                <w:lang w:val="en-US" w:eastAsia="zh-CN"/>
              </w:rPr>
              <w:t>完成小组数据分析报告的汇报资料。</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15周</w:t>
            </w:r>
          </w:p>
          <w:p>
            <w:pPr>
              <w:widowControl/>
              <w:spacing w:line="240" w:lineRule="auto"/>
              <w:jc w:val="center"/>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组织第22-25组学生进行数据分析报告</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lang w:val="en-US" w:eastAsia="zh-CN" w:bidi="ar-SA"/>
              </w:rPr>
            </w:pPr>
            <w:r>
              <w:rPr>
                <w:rFonts w:hint="eastAsia" w:ascii="宋体" w:hAnsi="宋体"/>
                <w:sz w:val="21"/>
                <w:szCs w:val="21"/>
                <w:highlight w:val="none"/>
                <w:lang w:val="en-US" w:eastAsia="zh-CN"/>
              </w:rPr>
              <w:t>完成小组数据分析报告的汇报资料。</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16周</w:t>
            </w:r>
          </w:p>
          <w:p>
            <w:pPr>
              <w:widowControl/>
              <w:spacing w:line="240" w:lineRule="auto"/>
              <w:jc w:val="center"/>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组织第26-30组学生进行数据分析报告</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lang w:val="en-US" w:eastAsia="zh-CN" w:bidi="ar-SA"/>
              </w:rPr>
            </w:pPr>
            <w:r>
              <w:rPr>
                <w:rFonts w:hint="eastAsia" w:ascii="宋体" w:hAnsi="宋体"/>
                <w:sz w:val="21"/>
                <w:szCs w:val="21"/>
                <w:highlight w:val="none"/>
                <w:lang w:val="en-US" w:eastAsia="zh-CN"/>
              </w:rPr>
              <w:t>完成小组数据分析报告的汇报资料。</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16周</w:t>
            </w:r>
          </w:p>
          <w:p>
            <w:pPr>
              <w:widowControl/>
              <w:spacing w:line="240" w:lineRule="auto"/>
              <w:jc w:val="center"/>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2次</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组织第31-35组学生进行数据分析报告</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lang w:val="en-US" w:eastAsia="zh-CN" w:bidi="ar-SA"/>
              </w:rPr>
            </w:pPr>
            <w:r>
              <w:rPr>
                <w:rFonts w:hint="eastAsia" w:ascii="宋体" w:hAnsi="宋体"/>
                <w:sz w:val="21"/>
                <w:szCs w:val="21"/>
                <w:highlight w:val="none"/>
                <w:lang w:val="en-US" w:eastAsia="zh-CN"/>
              </w:rPr>
              <w:t>完成小组数据分析报告的汇报资料。</w:t>
            </w: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17</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p>
        </w:tc>
      </w:tr>
      <w:tr>
        <w:tblPrEx>
          <w:tblCellMar>
            <w:top w:w="0" w:type="dxa"/>
            <w:left w:w="0" w:type="dxa"/>
            <w:bottom w:w="0" w:type="dxa"/>
            <w:right w:w="0" w:type="dxa"/>
          </w:tblCellMar>
        </w:tblPrEx>
        <w:trPr>
          <w:trHeight w:val="528" w:hRule="atLeast"/>
        </w:trPr>
        <w:tc>
          <w:tcPr>
            <w:tcW w:w="85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18</w:t>
            </w:r>
          </w:p>
        </w:tc>
        <w:tc>
          <w:tcPr>
            <w:tcW w:w="38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考试周</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lang w:eastAsia="zh-CN"/>
              </w:rPr>
            </w:pP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p>
        </w:tc>
      </w:tr>
    </w:tbl>
    <w:p>
      <w:pPr>
        <w:snapToGrid w:val="0"/>
        <w:rPr>
          <w:rFonts w:ascii="仿宋" w:hAnsi="仿宋" w:eastAsia="仿宋"/>
          <w:b/>
          <w:color w:val="000000"/>
          <w:sz w:val="28"/>
          <w:szCs w:val="28"/>
          <w:highlight w:val="none"/>
        </w:rPr>
      </w:pPr>
    </w:p>
    <w:p>
      <w:pPr>
        <w:snapToGrid w:val="0"/>
        <w:spacing w:beforeLines="100" w:afterLines="50"/>
        <w:rPr>
          <w:rFonts w:ascii="仿宋" w:hAnsi="仿宋" w:eastAsia="仿宋"/>
          <w:b/>
          <w:color w:val="000000"/>
          <w:sz w:val="28"/>
          <w:szCs w:val="28"/>
          <w:highlight w:val="none"/>
        </w:rPr>
      </w:pPr>
      <w:r>
        <w:rPr>
          <w:rFonts w:hint="eastAsia" w:ascii="仿宋" w:hAnsi="仿宋" w:eastAsia="仿宋"/>
          <w:b/>
          <w:color w:val="000000"/>
          <w:sz w:val="28"/>
          <w:szCs w:val="28"/>
          <w:highlight w:val="none"/>
        </w:rPr>
        <w:t>三、评价方式以及</w:t>
      </w:r>
      <w:r>
        <w:rPr>
          <w:rFonts w:ascii="仿宋" w:hAnsi="仿宋" w:eastAsia="仿宋"/>
          <w:b/>
          <w:color w:val="000000"/>
          <w:sz w:val="28"/>
          <w:szCs w:val="28"/>
          <w:highlight w:val="none"/>
        </w:rPr>
        <w:t>在总评</w:t>
      </w:r>
      <w:r>
        <w:rPr>
          <w:rFonts w:hint="eastAsia" w:ascii="仿宋" w:hAnsi="仿宋" w:eastAsia="仿宋"/>
          <w:b/>
          <w:color w:val="000000"/>
          <w:sz w:val="28"/>
          <w:szCs w:val="28"/>
          <w:highlight w:val="none"/>
        </w:rPr>
        <w:t>成绩</w:t>
      </w:r>
      <w:r>
        <w:rPr>
          <w:rFonts w:ascii="仿宋" w:hAnsi="仿宋" w:eastAsia="仿宋"/>
          <w:b/>
          <w:color w:val="000000"/>
          <w:sz w:val="28"/>
          <w:szCs w:val="28"/>
          <w:highlight w:val="none"/>
        </w:rPr>
        <w:t>中的比</w:t>
      </w:r>
      <w:r>
        <w:rPr>
          <w:rFonts w:hint="eastAsia" w:ascii="仿宋" w:hAnsi="仿宋" w:eastAsia="仿宋"/>
          <w:b/>
          <w:color w:val="000000"/>
          <w:sz w:val="28"/>
          <w:szCs w:val="28"/>
          <w:highlight w:val="none"/>
        </w:rPr>
        <w:t>例</w:t>
      </w:r>
    </w:p>
    <w:tbl>
      <w:tblPr>
        <w:tblStyle w:val="8"/>
        <w:tblpPr w:leftFromText="180" w:rightFromText="180" w:vertAnchor="text" w:horzAnchor="page" w:tblpX="1917" w:tblpY="49"/>
        <w:tblOverlap w:val="never"/>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总评构成（1+X）</w:t>
            </w:r>
          </w:p>
        </w:tc>
        <w:tc>
          <w:tcPr>
            <w:tcW w:w="5103" w:type="dxa"/>
            <w:noWrap w:val="0"/>
            <w:vAlign w:val="top"/>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评价方式</w:t>
            </w:r>
          </w:p>
        </w:tc>
        <w:tc>
          <w:tcPr>
            <w:tcW w:w="2127" w:type="dxa"/>
            <w:noWrap w:val="0"/>
            <w:vAlign w:val="top"/>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ascii="Times New Roman" w:hAnsi="Times New Roman"/>
                <w:bCs/>
                <w:color w:val="000000"/>
                <w:sz w:val="20"/>
                <w:szCs w:val="20"/>
              </w:rPr>
            </w:pPr>
            <w:r>
              <w:rPr>
                <w:rFonts w:hint="eastAsia" w:ascii="Times New Roman" w:hAnsi="Times New Roman"/>
                <w:bCs/>
                <w:color w:val="000000"/>
                <w:sz w:val="20"/>
                <w:szCs w:val="20"/>
                <w:lang w:val="en-US" w:eastAsia="zh-CN"/>
              </w:rPr>
              <w:t>X</w:t>
            </w:r>
            <w:r>
              <w:rPr>
                <w:rFonts w:ascii="Times New Roman" w:hAnsi="Times New Roman"/>
                <w:bCs/>
                <w:color w:val="000000"/>
                <w:sz w:val="20"/>
                <w:szCs w:val="20"/>
              </w:rPr>
              <w:t>1</w:t>
            </w:r>
          </w:p>
        </w:tc>
        <w:tc>
          <w:tcPr>
            <w:tcW w:w="5103" w:type="dxa"/>
            <w:noWrap w:val="0"/>
            <w:vAlign w:val="top"/>
          </w:tcPr>
          <w:p>
            <w:pPr>
              <w:snapToGrid w:val="0"/>
              <w:spacing w:before="156" w:beforeLines="50" w:after="156" w:afterLines="50"/>
              <w:jc w:val="center"/>
              <w:rPr>
                <w:rFonts w:hint="eastAsia" w:ascii="Times New Roman" w:hAnsi="Times New Roman" w:eastAsia="宋体"/>
                <w:bCs/>
                <w:color w:val="000000"/>
                <w:sz w:val="20"/>
                <w:szCs w:val="20"/>
                <w:lang w:eastAsia="zh-CN"/>
              </w:rPr>
            </w:pPr>
            <w:r>
              <w:rPr>
                <w:rFonts w:hint="eastAsia" w:ascii="Times New Roman" w:hAnsi="Times New Roman"/>
                <w:bCs/>
                <w:color w:val="000000"/>
                <w:sz w:val="20"/>
                <w:szCs w:val="20"/>
                <w:lang w:eastAsia="zh-CN"/>
              </w:rPr>
              <w:t>随堂测验</w:t>
            </w:r>
          </w:p>
        </w:tc>
        <w:tc>
          <w:tcPr>
            <w:tcW w:w="2127" w:type="dxa"/>
            <w:noWrap w:val="0"/>
            <w:vAlign w:val="top"/>
          </w:tcPr>
          <w:p>
            <w:pPr>
              <w:snapToGrid w:val="0"/>
              <w:spacing w:before="156" w:beforeLines="50" w:after="156" w:afterLines="50"/>
              <w:jc w:val="center"/>
              <w:rPr>
                <w:rFonts w:ascii="Times New Roman" w:hAnsi="Times New Roman"/>
                <w:bCs/>
                <w:color w:val="000000"/>
                <w:sz w:val="20"/>
                <w:szCs w:val="20"/>
              </w:rPr>
            </w:pPr>
            <w:r>
              <w:rPr>
                <w:rFonts w:hint="eastAsia" w:ascii="Times New Roman" w:hAnsi="Times New Roman"/>
                <w:bCs/>
                <w:color w:val="000000"/>
                <w:sz w:val="20"/>
                <w:szCs w:val="20"/>
                <w:lang w:val="en-US" w:eastAsia="zh-CN"/>
              </w:rPr>
              <w:t>2</w:t>
            </w:r>
            <w:r>
              <w:rPr>
                <w:rFonts w:ascii="Times New Roman" w:hAnsi="Times New Roman"/>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X2</w:t>
            </w:r>
          </w:p>
        </w:tc>
        <w:tc>
          <w:tcPr>
            <w:tcW w:w="5103" w:type="dxa"/>
            <w:noWrap w:val="0"/>
            <w:vAlign w:val="top"/>
          </w:tcPr>
          <w:p>
            <w:pPr>
              <w:snapToGrid w:val="0"/>
              <w:spacing w:before="156" w:beforeLines="50" w:after="156" w:afterLines="50"/>
              <w:jc w:val="center"/>
              <w:rPr>
                <w:rFonts w:hint="eastAsia" w:ascii="Times New Roman" w:hAnsi="Times New Roman"/>
                <w:bCs/>
                <w:color w:val="000000"/>
                <w:sz w:val="20"/>
                <w:szCs w:val="20"/>
                <w:lang w:eastAsia="zh-CN"/>
              </w:rPr>
            </w:pPr>
            <w:r>
              <w:rPr>
                <w:rFonts w:hint="eastAsia" w:ascii="Times New Roman" w:hAnsi="Times New Roman"/>
                <w:bCs/>
                <w:color w:val="000000"/>
                <w:sz w:val="20"/>
                <w:szCs w:val="20"/>
                <w:lang w:eastAsia="zh-CN"/>
              </w:rPr>
              <w:t>课堂讨论</w:t>
            </w:r>
          </w:p>
        </w:tc>
        <w:tc>
          <w:tcPr>
            <w:tcW w:w="212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X3</w:t>
            </w:r>
          </w:p>
        </w:tc>
        <w:tc>
          <w:tcPr>
            <w:tcW w:w="5103" w:type="dxa"/>
            <w:noWrap w:val="0"/>
            <w:vAlign w:val="top"/>
          </w:tcPr>
          <w:p>
            <w:pPr>
              <w:snapToGrid w:val="0"/>
              <w:spacing w:before="156" w:beforeLines="50" w:after="156" w:afterLines="50"/>
              <w:jc w:val="center"/>
              <w:rPr>
                <w:rFonts w:hint="eastAsia" w:ascii="Times New Roman" w:hAnsi="Times New Roman"/>
                <w:bCs/>
                <w:color w:val="000000"/>
                <w:sz w:val="20"/>
                <w:szCs w:val="20"/>
                <w:lang w:eastAsia="zh-CN"/>
              </w:rPr>
            </w:pPr>
            <w:r>
              <w:rPr>
                <w:rFonts w:hint="eastAsia" w:ascii="Times New Roman" w:hAnsi="Times New Roman"/>
                <w:bCs/>
                <w:color w:val="000000"/>
                <w:sz w:val="20"/>
                <w:szCs w:val="20"/>
                <w:lang w:eastAsia="zh-CN"/>
              </w:rPr>
              <w:t>数据分析报告</w:t>
            </w:r>
          </w:p>
        </w:tc>
        <w:tc>
          <w:tcPr>
            <w:tcW w:w="212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50%</w:t>
            </w:r>
          </w:p>
        </w:tc>
      </w:tr>
    </w:tbl>
    <w:p>
      <w:pPr>
        <w:rPr>
          <w:highlight w:val="none"/>
        </w:rPr>
      </w:pPr>
    </w:p>
    <w:p>
      <w:pPr>
        <w:tabs>
          <w:tab w:val="left" w:pos="3210"/>
          <w:tab w:val="left" w:pos="7560"/>
        </w:tabs>
        <w:spacing w:beforeLines="20" w:line="360" w:lineRule="auto"/>
        <w:outlineLvl w:val="0"/>
        <w:rPr>
          <w:rFonts w:ascii="仿宋" w:hAnsi="仿宋" w:eastAsia="仿宋"/>
          <w:color w:val="000000"/>
          <w:position w:val="-20"/>
          <w:highlight w:val="none"/>
        </w:rPr>
      </w:pPr>
    </w:p>
    <w:p>
      <w:pPr>
        <w:tabs>
          <w:tab w:val="left" w:pos="3210"/>
          <w:tab w:val="left" w:pos="7560"/>
        </w:tabs>
        <w:spacing w:beforeLines="20" w:line="360" w:lineRule="auto"/>
        <w:ind w:left="4760" w:hanging="4760" w:hangingChars="1700"/>
        <w:outlineLvl w:val="0"/>
        <w:rPr>
          <w:rFonts w:hint="eastAsia" w:ascii="仿宋" w:hAnsi="仿宋" w:eastAsia="仿宋"/>
          <w:sz w:val="28"/>
          <w:szCs w:val="28"/>
          <w:highlight w:val="none"/>
          <w:lang w:val="en-US" w:eastAsia="zh-CN"/>
        </w:rPr>
      </w:pPr>
      <w:r>
        <w:rPr>
          <w:rFonts w:hint="eastAsia" w:ascii="仿宋" w:hAnsi="仿宋" w:eastAsia="仿宋"/>
          <w:color w:val="000000"/>
          <w:position w:val="-20"/>
          <w:sz w:val="28"/>
          <w:szCs w:val="28"/>
          <w:highlight w:val="none"/>
        </w:rPr>
        <w:t>撰写人：</w:t>
      </w:r>
      <w:r>
        <w:rPr>
          <w:rFonts w:hint="eastAsia" w:ascii="仿宋" w:hAnsi="仿宋" w:eastAsia="仿宋"/>
          <w:color w:val="000000"/>
          <w:position w:val="-20"/>
          <w:sz w:val="28"/>
          <w:szCs w:val="28"/>
          <w:highlight w:val="none"/>
        </w:rPr>
        <w:drawing>
          <wp:inline distT="0" distB="0" distL="114300" distR="114300">
            <wp:extent cx="1838960" cy="193675"/>
            <wp:effectExtent l="0" t="0" r="2540" b="9525"/>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5"/>
                    <a:stretch>
                      <a:fillRect/>
                    </a:stretch>
                  </pic:blipFill>
                  <pic:spPr>
                    <a:xfrm>
                      <a:off x="0" y="0"/>
                      <a:ext cx="1838960" cy="193675"/>
                    </a:xfrm>
                    <a:prstGeom prst="rect">
                      <a:avLst/>
                    </a:prstGeom>
                  </pic:spPr>
                </pic:pic>
              </a:graphicData>
            </a:graphic>
          </wp:inline>
        </w:drawing>
      </w:r>
      <w:r>
        <w:rPr>
          <w:rFonts w:hint="eastAsia" w:ascii="仿宋" w:hAnsi="仿宋" w:eastAsia="仿宋"/>
          <w:color w:val="000000"/>
          <w:position w:val="-20"/>
          <w:sz w:val="28"/>
          <w:szCs w:val="28"/>
          <w:highlight w:val="none"/>
          <w:lang w:val="en-US" w:eastAsia="zh-CN"/>
        </w:rPr>
        <w:t xml:space="preserve">    </w:t>
      </w:r>
      <w:r>
        <w:rPr>
          <w:rFonts w:hint="eastAsia" w:ascii="仿宋" w:hAnsi="仿宋" w:eastAsia="仿宋"/>
          <w:color w:val="000000"/>
          <w:position w:val="-20"/>
          <w:sz w:val="28"/>
          <w:szCs w:val="28"/>
          <w:highlight w:val="none"/>
        </w:rPr>
        <w:t>系主任审核签名：</w:t>
      </w:r>
      <w:r>
        <w:rPr>
          <w:rFonts w:hint="eastAsia" w:ascii="仿宋" w:hAnsi="仿宋" w:eastAsia="仿宋"/>
          <w:color w:val="000000"/>
          <w:position w:val="-20"/>
          <w:sz w:val="28"/>
          <w:szCs w:val="28"/>
          <w:highlight w:val="none"/>
          <w:lang w:val="en-US" w:eastAsia="zh-CN"/>
        </w:rPr>
        <w:drawing>
          <wp:inline distT="0" distB="0" distL="114300" distR="114300">
            <wp:extent cx="726440" cy="386080"/>
            <wp:effectExtent l="0" t="0" r="10160" b="8255"/>
            <wp:docPr id="4" name="图片 4" descr="微信图片_2019112713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1127135630"/>
                    <pic:cNvPicPr>
                      <a:picLocks noChangeAspect="1"/>
                    </pic:cNvPicPr>
                  </pic:nvPicPr>
                  <pic:blipFill>
                    <a:blip r:embed="rId6"/>
                    <a:stretch>
                      <a:fillRect/>
                    </a:stretch>
                  </pic:blipFill>
                  <pic:spPr>
                    <a:xfrm>
                      <a:off x="0" y="0"/>
                      <a:ext cx="726440" cy="386080"/>
                    </a:xfrm>
                    <a:prstGeom prst="rect">
                      <a:avLst/>
                    </a:prstGeom>
                  </pic:spPr>
                </pic:pic>
              </a:graphicData>
            </a:graphic>
          </wp:inline>
        </w:drawing>
      </w:r>
      <w:r>
        <w:rPr>
          <w:rFonts w:hint="eastAsia" w:ascii="仿宋" w:hAnsi="仿宋" w:eastAsia="仿宋"/>
          <w:color w:val="000000"/>
          <w:position w:val="-20"/>
          <w:sz w:val="28"/>
          <w:szCs w:val="28"/>
          <w:highlight w:val="none"/>
          <w:lang w:val="en-US" w:eastAsia="zh-CN"/>
        </w:rPr>
        <w:t xml:space="preserve">   </w:t>
      </w:r>
      <w:r>
        <w:rPr>
          <w:rFonts w:hint="eastAsia" w:ascii="仿宋" w:hAnsi="仿宋" w:eastAsia="仿宋"/>
          <w:color w:val="000000"/>
          <w:position w:val="-20"/>
          <w:sz w:val="28"/>
          <w:szCs w:val="28"/>
          <w:highlight w:val="none"/>
        </w:rPr>
        <w:t xml:space="preserve">      日期：</w:t>
      </w:r>
      <w:r>
        <w:rPr>
          <w:rFonts w:hint="eastAsia" w:ascii="仿宋" w:hAnsi="仿宋" w:eastAsia="仿宋"/>
          <w:color w:val="000000"/>
          <w:position w:val="-20"/>
          <w:sz w:val="28"/>
          <w:szCs w:val="28"/>
          <w:highlight w:val="none"/>
          <w:lang w:val="en-US" w:eastAsia="zh-CN"/>
        </w:rPr>
        <w:t>2020.09</w:t>
      </w:r>
    </w:p>
    <w:p>
      <w:pPr>
        <w:spacing w:line="480" w:lineRule="auto"/>
        <w:jc w:val="center"/>
        <w:rPr>
          <w:rFonts w:asciiTheme="minorEastAsia" w:hAnsiTheme="minorEastAsia"/>
          <w:b/>
          <w:sz w:val="30"/>
          <w:szCs w:val="30"/>
          <w:highlight w:val="none"/>
        </w:rPr>
      </w:pPr>
    </w:p>
    <w:p>
      <w:pPr>
        <w:spacing w:line="480" w:lineRule="auto"/>
        <w:jc w:val="center"/>
        <w:rPr>
          <w:rFonts w:asciiTheme="minorEastAsia" w:hAnsiTheme="minorEastAsia"/>
          <w:b/>
          <w:sz w:val="30"/>
          <w:szCs w:val="30"/>
          <w:highlight w:val="none"/>
        </w:rPr>
      </w:pPr>
    </w:p>
    <w:p>
      <w:pPr>
        <w:spacing w:line="360" w:lineRule="auto"/>
        <w:jc w:val="left"/>
        <w:rPr>
          <w:highlight w:val="none"/>
        </w:rPr>
      </w:pPr>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73110"/>
    </w:sdtPr>
    <w:sdtContent>
      <w:p>
        <w:pPr>
          <w:pStyle w:val="5"/>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258A2"/>
    <w:rsid w:val="00094DC3"/>
    <w:rsid w:val="00110E08"/>
    <w:rsid w:val="001132C1"/>
    <w:rsid w:val="00192F6A"/>
    <w:rsid w:val="001D6DC5"/>
    <w:rsid w:val="00213E36"/>
    <w:rsid w:val="00224FB2"/>
    <w:rsid w:val="00285EDC"/>
    <w:rsid w:val="002D314A"/>
    <w:rsid w:val="00332A6C"/>
    <w:rsid w:val="0033403C"/>
    <w:rsid w:val="00362612"/>
    <w:rsid w:val="003806A5"/>
    <w:rsid w:val="003853EB"/>
    <w:rsid w:val="003E3787"/>
    <w:rsid w:val="003F23E9"/>
    <w:rsid w:val="0040617D"/>
    <w:rsid w:val="00573B5F"/>
    <w:rsid w:val="00582971"/>
    <w:rsid w:val="005F4B41"/>
    <w:rsid w:val="00693490"/>
    <w:rsid w:val="006E76FC"/>
    <w:rsid w:val="006F3DEB"/>
    <w:rsid w:val="006F66B8"/>
    <w:rsid w:val="007242AE"/>
    <w:rsid w:val="0076043C"/>
    <w:rsid w:val="007672D3"/>
    <w:rsid w:val="00823D04"/>
    <w:rsid w:val="00872D5C"/>
    <w:rsid w:val="008B5EFE"/>
    <w:rsid w:val="008C711D"/>
    <w:rsid w:val="00961DD1"/>
    <w:rsid w:val="009D382B"/>
    <w:rsid w:val="009D53BF"/>
    <w:rsid w:val="00A73726"/>
    <w:rsid w:val="00A92DDA"/>
    <w:rsid w:val="00A93D1B"/>
    <w:rsid w:val="00B10416"/>
    <w:rsid w:val="00B233C1"/>
    <w:rsid w:val="00B657DC"/>
    <w:rsid w:val="00B70BCB"/>
    <w:rsid w:val="00C41CA4"/>
    <w:rsid w:val="00C65888"/>
    <w:rsid w:val="00C854F7"/>
    <w:rsid w:val="00C93FED"/>
    <w:rsid w:val="00CA7D92"/>
    <w:rsid w:val="00CD2BA5"/>
    <w:rsid w:val="00CE008D"/>
    <w:rsid w:val="00D22ABD"/>
    <w:rsid w:val="00D258A2"/>
    <w:rsid w:val="00D400C2"/>
    <w:rsid w:val="00E1716E"/>
    <w:rsid w:val="00E17933"/>
    <w:rsid w:val="00E45DCF"/>
    <w:rsid w:val="00E6068A"/>
    <w:rsid w:val="00E82144"/>
    <w:rsid w:val="00E843E0"/>
    <w:rsid w:val="00E92E67"/>
    <w:rsid w:val="00F04CBC"/>
    <w:rsid w:val="00F1626D"/>
    <w:rsid w:val="00F50BF7"/>
    <w:rsid w:val="00F6276D"/>
    <w:rsid w:val="00FE214F"/>
    <w:rsid w:val="01B24A83"/>
    <w:rsid w:val="029B26EA"/>
    <w:rsid w:val="04645E32"/>
    <w:rsid w:val="05292E22"/>
    <w:rsid w:val="054C5ED8"/>
    <w:rsid w:val="06BB68DF"/>
    <w:rsid w:val="079E221E"/>
    <w:rsid w:val="079F02AB"/>
    <w:rsid w:val="07BA5B90"/>
    <w:rsid w:val="08B40E0E"/>
    <w:rsid w:val="090572D2"/>
    <w:rsid w:val="0C6B1AE8"/>
    <w:rsid w:val="124517E7"/>
    <w:rsid w:val="1286373D"/>
    <w:rsid w:val="138E7F27"/>
    <w:rsid w:val="15302717"/>
    <w:rsid w:val="194E6DD2"/>
    <w:rsid w:val="1DB542DD"/>
    <w:rsid w:val="1EA80238"/>
    <w:rsid w:val="206844FB"/>
    <w:rsid w:val="22533BCA"/>
    <w:rsid w:val="22727555"/>
    <w:rsid w:val="23164BE1"/>
    <w:rsid w:val="23A77642"/>
    <w:rsid w:val="24376DEE"/>
    <w:rsid w:val="26111EE2"/>
    <w:rsid w:val="26C84C1D"/>
    <w:rsid w:val="28A0310D"/>
    <w:rsid w:val="299E3148"/>
    <w:rsid w:val="2A136136"/>
    <w:rsid w:val="2A511424"/>
    <w:rsid w:val="2D3777D4"/>
    <w:rsid w:val="336D7D03"/>
    <w:rsid w:val="340F4A2F"/>
    <w:rsid w:val="357D6C1A"/>
    <w:rsid w:val="37B24D6D"/>
    <w:rsid w:val="38815662"/>
    <w:rsid w:val="39D60B13"/>
    <w:rsid w:val="3EBE0371"/>
    <w:rsid w:val="3EF9408F"/>
    <w:rsid w:val="3F4401B6"/>
    <w:rsid w:val="4214160C"/>
    <w:rsid w:val="446C242A"/>
    <w:rsid w:val="47BA06A7"/>
    <w:rsid w:val="4DF9357A"/>
    <w:rsid w:val="4E3B6579"/>
    <w:rsid w:val="50AB530A"/>
    <w:rsid w:val="50BB1043"/>
    <w:rsid w:val="51A23D32"/>
    <w:rsid w:val="524D2AC9"/>
    <w:rsid w:val="54641FAA"/>
    <w:rsid w:val="54BE593B"/>
    <w:rsid w:val="594A3289"/>
    <w:rsid w:val="5AE04A33"/>
    <w:rsid w:val="5D652194"/>
    <w:rsid w:val="5E4F7BEE"/>
    <w:rsid w:val="602C69B7"/>
    <w:rsid w:val="627F6515"/>
    <w:rsid w:val="62955310"/>
    <w:rsid w:val="67972957"/>
    <w:rsid w:val="67BA1618"/>
    <w:rsid w:val="69165736"/>
    <w:rsid w:val="6B890171"/>
    <w:rsid w:val="6E5B4D81"/>
    <w:rsid w:val="6EE65608"/>
    <w:rsid w:val="6FCA12C1"/>
    <w:rsid w:val="775A0318"/>
    <w:rsid w:val="77C73A3F"/>
    <w:rsid w:val="77DB2C7E"/>
    <w:rsid w:val="785A47FF"/>
    <w:rsid w:val="7A5A4DE7"/>
    <w:rsid w:val="7A8D41DE"/>
    <w:rsid w:val="7C343B3C"/>
    <w:rsid w:val="7F443A2A"/>
    <w:rsid w:val="7FE670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Hyperlink"/>
    <w:basedOn w:val="10"/>
    <w:unhideWhenUsed/>
    <w:qFormat/>
    <w:uiPriority w:val="99"/>
    <w:rPr>
      <w:color w:val="0000FF"/>
      <w:u w:val="singl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DAF5E-A3A9-4567-B245-52E2C398ADD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904</Words>
  <Characters>5153</Characters>
  <Lines>42</Lines>
  <Paragraphs>12</Paragraphs>
  <TotalTime>0</TotalTime>
  <ScaleCrop>false</ScaleCrop>
  <LinksUpToDate>false</LinksUpToDate>
  <CharactersWithSpaces>6045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2016-12-28T11:28:00Z</dcterms:created>
  <dc:creator>微软用户</dc:creator>
  <cp:lastModifiedBy>admin</cp:lastModifiedBy>
  <dcterms:modified xsi:type="dcterms:W3CDTF">2020-09-18T05:46:20Z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