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80" w:lineRule="exact"/>
        <w:jc w:val="left"/>
        <w:rPr>
          <w:rFonts w:ascii="黑体" w:hAnsi="宋体" w:eastAsia="黑体"/>
          <w:bCs/>
          <w:kern w:val="0"/>
          <w:sz w:val="32"/>
          <w:szCs w:val="32"/>
        </w:rPr>
      </w:pPr>
    </w:p>
    <w:p>
      <w:pPr>
        <w:spacing w:line="288" w:lineRule="auto"/>
        <w:jc w:val="center"/>
        <w:rPr>
          <w:rFonts w:ascii="方正小标宋简体" w:hAnsi="宋体"/>
          <w:bCs/>
          <w:kern w:val="0"/>
          <w:szCs w:val="21"/>
        </w:rPr>
      </w:pPr>
      <w:r>
        <w:rPr>
          <w:rFonts w:hint="eastAsia" w:asciiTheme="minorEastAsia" w:hAnsiTheme="minorEastAsia" w:eastAsiaTheme="minorEastAsia"/>
          <w:bCs/>
          <w:kern w:val="0"/>
          <w:sz w:val="40"/>
          <w:szCs w:val="40"/>
        </w:rPr>
        <w:t xml:space="preserve">       专业课课程</w:t>
      </w:r>
      <w:r>
        <w:rPr>
          <w:rFonts w:hint="eastAsia" w:ascii="方正小标宋简体" w:hAnsi="宋体" w:eastAsia="方正小标宋简体"/>
          <w:bCs/>
          <w:kern w:val="0"/>
          <w:sz w:val="40"/>
          <w:szCs w:val="40"/>
        </w:rPr>
        <w:t>教学大纲模板</w:t>
      </w:r>
      <w:r>
        <w:rPr>
          <w:rFonts w:hint="eastAsia" w:ascii="方正小标宋简体" w:hAnsi="宋体"/>
          <w:bCs/>
          <w:kern w:val="0"/>
          <w:szCs w:val="21"/>
        </w:rPr>
        <w:t>（</w:t>
      </w:r>
      <w:r>
        <w:rPr>
          <w:rFonts w:hint="eastAsia"/>
          <w:sz w:val="32"/>
          <w:szCs w:val="32"/>
        </w:rPr>
        <w:t>2017.6.30版</w:t>
      </w:r>
      <w:r>
        <w:rPr>
          <w:rFonts w:hint="eastAsia" w:ascii="方正小标宋简体" w:hAnsi="宋体"/>
          <w:bCs/>
          <w:kern w:val="0"/>
          <w:szCs w:val="21"/>
        </w:rPr>
        <w:t>）</w:t>
      </w:r>
    </w:p>
    <w:p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【秘书系列讲座2】</w:t>
      </w:r>
    </w:p>
    <w:p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bookmarkStart w:id="0" w:name="a2"/>
      <w:bookmarkEnd w:id="0"/>
      <w:r>
        <w:rPr>
          <w:b/>
          <w:sz w:val="28"/>
          <w:szCs w:val="30"/>
        </w:rPr>
        <w:t>Secretarial Lecture Series 2</w:t>
      </w:r>
      <w:r>
        <w:rPr>
          <w:rFonts w:hint="eastAsia"/>
          <w:b/>
          <w:sz w:val="28"/>
          <w:szCs w:val="30"/>
        </w:rPr>
        <w:t>】</w:t>
      </w:r>
    </w:p>
    <w:p>
      <w:pPr>
        <w:spacing w:before="156" w:beforeLines="50" w:after="156" w:afterLines="50" w:line="288" w:lineRule="auto"/>
        <w:ind w:firstLine="360" w:firstLineChars="150"/>
        <w:rPr>
          <w:b/>
          <w:color w:val="008080"/>
          <w:sz w:val="30"/>
          <w:szCs w:val="30"/>
        </w:rPr>
      </w:pPr>
      <w:r>
        <w:rPr>
          <w:rFonts w:ascii="黑体" w:hAnsi="宋体" w:eastAsia="黑体"/>
          <w:sz w:val="24"/>
        </w:rPr>
        <w:t>一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基本信息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2030239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szCs w:val="21"/>
        </w:rPr>
        <w:t>秘书学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学科专业基础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b/>
          <w:bCs/>
          <w:color w:val="000000"/>
          <w:sz w:val="20"/>
          <w:szCs w:val="20"/>
        </w:rPr>
        <w:t>新闻传播学院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>
      <w:pPr>
        <w:snapToGrid w:val="0"/>
        <w:spacing w:line="288" w:lineRule="auto"/>
        <w:ind w:firstLine="792" w:firstLineChars="396"/>
        <w:rPr>
          <w:color w:val="000000"/>
          <w:szCs w:val="21"/>
        </w:rPr>
      </w:pPr>
      <w:r>
        <w:rPr>
          <w:rFonts w:hint="eastAsia"/>
          <w:color w:val="000000"/>
          <w:sz w:val="20"/>
          <w:szCs w:val="20"/>
        </w:rPr>
        <w:t>本课程使用的教材为《做最得力的秘书》，石咏琦，北京大学出版社</w:t>
      </w:r>
    </w:p>
    <w:p>
      <w:pPr>
        <w:snapToGrid w:val="0"/>
        <w:spacing w:line="288" w:lineRule="auto"/>
        <w:ind w:firstLine="392" w:firstLineChars="196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主要参考书目：  </w:t>
      </w:r>
    </w:p>
    <w:p>
      <w:pPr>
        <w:snapToGrid w:val="0"/>
        <w:spacing w:line="288" w:lineRule="auto"/>
        <w:ind w:firstLine="392" w:firstLineChars="196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  石咏琦</w:t>
      </w:r>
      <w:r>
        <w:rPr>
          <w:rFonts w:hint="eastAsia" w:ascii="宋体" w:hAnsi="宋体"/>
          <w:color w:val="000000"/>
          <w:sz w:val="20"/>
          <w:szCs w:val="20"/>
        </w:rPr>
        <w:t>、</w:t>
      </w:r>
      <w:r>
        <w:rPr>
          <w:rFonts w:hint="eastAsia"/>
          <w:color w:val="000000"/>
          <w:sz w:val="20"/>
          <w:szCs w:val="20"/>
        </w:rPr>
        <w:t>石赐亮，《从此工作不伤心》，（台湾）时报出版社</w:t>
      </w:r>
    </w:p>
    <w:p>
      <w:pPr>
        <w:snapToGrid w:val="0"/>
        <w:spacing w:line="288" w:lineRule="auto"/>
        <w:ind w:firstLine="392" w:firstLineChars="196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石咏琦</w:t>
      </w:r>
      <w:r>
        <w:rPr>
          <w:rFonts w:hint="eastAsia" w:ascii="宋体" w:hAnsi="宋体"/>
          <w:color w:val="000000"/>
          <w:sz w:val="20"/>
          <w:szCs w:val="20"/>
        </w:rPr>
        <w:t>、</w:t>
      </w:r>
      <w:r>
        <w:rPr>
          <w:rFonts w:hint="eastAsia"/>
          <w:color w:val="000000"/>
          <w:sz w:val="20"/>
          <w:szCs w:val="20"/>
        </w:rPr>
        <w:t>汪玉川主编 ，《秘书礼仪》，电子科技大学出版社</w:t>
      </w:r>
    </w:p>
    <w:p>
      <w:pPr>
        <w:snapToGrid w:val="0"/>
        <w:spacing w:line="288" w:lineRule="auto"/>
        <w:ind w:firstLine="392" w:firstLineChars="196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石咏琦 ，《打造黄金人脉》，中国社会科学出版社</w:t>
      </w:r>
    </w:p>
    <w:p>
      <w:pPr>
        <w:snapToGrid w:val="0"/>
        <w:spacing w:line="288" w:lineRule="auto"/>
        <w:ind w:firstLine="394" w:firstLineChars="196"/>
        <w:rPr>
          <w:b/>
          <w:bCs/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E-mail: rkzzx2008@sina.com</w:t>
      </w:r>
    </w:p>
    <w:p>
      <w:pPr>
        <w:adjustRightInd w:val="0"/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秘书学   2030160   学分2分</w:t>
      </w:r>
      <w:r>
        <w:rPr>
          <w:color w:val="000000"/>
          <w:sz w:val="20"/>
          <w:szCs w:val="20"/>
        </w:rPr>
        <w:t>】</w:t>
      </w:r>
    </w:p>
    <w:p>
      <w:pPr>
        <w:adjustRightInd w:val="0"/>
        <w:snapToGrid w:val="0"/>
        <w:spacing w:line="288" w:lineRule="auto"/>
        <w:ind w:firstLine="392" w:firstLineChars="196"/>
        <w:rPr>
          <w:color w:val="000000"/>
          <w:sz w:val="20"/>
          <w:szCs w:val="20"/>
        </w:rPr>
      </w:pPr>
    </w:p>
    <w:p>
      <w:pPr>
        <w:adjustRightInd w:val="0"/>
        <w:snapToGrid w:val="0"/>
        <w:spacing w:before="156" w:beforeLines="50" w:after="156" w:afterLines="50" w:line="288" w:lineRule="auto"/>
        <w:ind w:firstLine="348" w:firstLineChars="145"/>
        <w:rPr>
          <w:b/>
          <w:color w:val="000000"/>
          <w:sz w:val="24"/>
          <w:szCs w:val="20"/>
        </w:rPr>
      </w:pPr>
      <w:r>
        <w:rPr>
          <w:rFonts w:ascii="黑体" w:hAnsi="宋体" w:eastAsia="黑体"/>
          <w:sz w:val="24"/>
        </w:rPr>
        <w:t>二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课程简介</w:t>
      </w:r>
    </w:p>
    <w:p>
      <w:pPr>
        <w:ind w:firstLine="400" w:firstLineChars="200"/>
        <w:rPr>
          <w:rFonts w:ascii="宋体" w:hAnsi="宋体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每个</w:t>
      </w:r>
      <w:r>
        <w:rPr>
          <w:rFonts w:hint="eastAsia" w:ascii="PMingLiU" w:hAnsi="PMingLiU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单位</w:t>
      </w:r>
      <w:r>
        <w:rPr>
          <w:rFonts w:hint="eastAsia" w:ascii="宋体" w:hAnsi="宋体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都有</w:t>
      </w:r>
      <w:r>
        <w:rPr>
          <w:rFonts w:hint="eastAsia" w:ascii="PMingLiU" w:hAnsi="PMingLiU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巨量的行政管理工作人员</w:t>
      </w:r>
      <w:r>
        <w:rPr>
          <w:rFonts w:hint="eastAsia" w:ascii="宋体" w:hAnsi="宋体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，如何才能将</w:t>
      </w:r>
      <w:r>
        <w:rPr>
          <w:rFonts w:hint="eastAsia" w:ascii="PMingLiU" w:hAnsi="PMingLiU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这些秘书</w:t>
      </w:r>
      <w:r>
        <w:rPr>
          <w:rFonts w:hint="eastAsia" w:ascii="宋体" w:hAnsi="宋体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完整结合成为理想的工作团队，让他们不仅能有足够的工作热诚，并且具有绝对的工作默契。</w:t>
      </w:r>
      <w:r>
        <w:rPr>
          <w:rFonts w:hint="eastAsia" w:ascii="PMingLiU" w:hAnsi="PMingLiU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本</w:t>
      </w:r>
      <w:r>
        <w:rPr>
          <w:rFonts w:hint="eastAsia" w:ascii="宋体" w:hAnsi="宋体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课程主旨在于提高</w:t>
      </w:r>
      <w:r>
        <w:rPr>
          <w:rFonts w:hint="eastAsia" w:ascii="PMingLiU" w:hAnsi="PMingLiU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行政管理工作者</w:t>
      </w:r>
      <w:r>
        <w:rPr>
          <w:rFonts w:hint="eastAsia" w:ascii="宋体" w:hAnsi="宋体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的工作技能，提升其</w:t>
      </w:r>
      <w:r>
        <w:rPr>
          <w:rFonts w:hint="eastAsia" w:ascii="PMingLiU" w:hAnsi="PMingLiU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职业</w:t>
      </w:r>
      <w:r>
        <w:rPr>
          <w:rFonts w:hint="eastAsia" w:ascii="宋体" w:hAnsi="宋体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文化素养，并与领导建立最佳团队合作关系。</w:t>
      </w:r>
    </w:p>
    <w:p>
      <w:pPr>
        <w:ind w:firstLine="400" w:firstLineChars="200"/>
        <w:rPr>
          <w:rFonts w:ascii="宋体" w:hAnsi="宋体"/>
          <w:color w:val="333300"/>
          <w:sz w:val="20"/>
          <w:szCs w:val="20"/>
        </w:rPr>
      </w:pPr>
      <w:r>
        <w:rPr>
          <w:rFonts w:hint="eastAsia" w:ascii="Arial" w:hAnsi="Arial" w:cs="PMingLiU"/>
          <w:color w:val="000000"/>
          <w:kern w:val="0"/>
          <w:sz w:val="20"/>
          <w:szCs w:val="20"/>
          <w:lang w:bidi="hi-IN"/>
        </w:rPr>
        <w:t>政务行政管理工作是</w:t>
      </w:r>
      <w:r>
        <w:rPr>
          <w:rFonts w:hint="eastAsia" w:ascii="PMingLiU" w:hAnsi="PMingLiU" w:cs="PMingLiU"/>
          <w:color w:val="000000"/>
          <w:kern w:val="0"/>
          <w:sz w:val="20"/>
          <w:szCs w:val="20"/>
          <w:lang w:bidi="hi-IN"/>
        </w:rPr>
        <w:t>公务机关</w:t>
      </w:r>
      <w:r>
        <w:rPr>
          <w:rFonts w:hint="eastAsia" w:ascii="Arial" w:hAnsi="Arial" w:cs="PMingLiU"/>
          <w:color w:val="000000"/>
          <w:kern w:val="0"/>
          <w:sz w:val="20"/>
          <w:szCs w:val="20"/>
          <w:lang w:bidi="hi-IN"/>
        </w:rPr>
        <w:t>的重要内容之一，</w:t>
      </w:r>
      <w:r>
        <w:rPr>
          <w:rFonts w:hint="eastAsia" w:ascii="PMingLiU" w:hAnsi="PMingLiU" w:cs="PMingLiU"/>
          <w:color w:val="000000"/>
          <w:kern w:val="0"/>
          <w:sz w:val="20"/>
          <w:szCs w:val="20"/>
          <w:lang w:bidi="hi-IN"/>
        </w:rPr>
        <w:t>肩负</w:t>
      </w:r>
      <w:r>
        <w:rPr>
          <w:rFonts w:hint="eastAsia" w:ascii="Arial" w:hAnsi="Arial" w:cs="PMingLiU"/>
          <w:color w:val="000000"/>
          <w:kern w:val="0"/>
          <w:sz w:val="20"/>
          <w:szCs w:val="20"/>
          <w:lang w:bidi="hi-IN"/>
        </w:rPr>
        <w:t>承上启下、联系左右、综合协调、提供信息、研究政策、辅助决策、参与政务、保障服务的重要作用。通过高效有序规范的政务行政管理工作，及时、准确、全面的反映经济发展</w:t>
      </w:r>
      <w:r>
        <w:rPr>
          <w:rFonts w:hint="eastAsia" w:ascii="PMingLiU" w:hAnsi="PMingLiU" w:cs="PMingLiU"/>
          <w:color w:val="000000"/>
          <w:kern w:val="0"/>
          <w:sz w:val="20"/>
          <w:szCs w:val="20"/>
          <w:lang w:bidi="hi-IN"/>
        </w:rPr>
        <w:t>状</w:t>
      </w:r>
      <w:r>
        <w:rPr>
          <w:rFonts w:hint="eastAsia" w:ascii="Arial" w:hAnsi="Arial" w:cs="PMingLiU"/>
          <w:color w:val="000000"/>
          <w:kern w:val="0"/>
          <w:sz w:val="20"/>
          <w:szCs w:val="20"/>
          <w:lang w:bidi="hi-IN"/>
        </w:rPr>
        <w:t>况，对</w:t>
      </w:r>
      <w:r>
        <w:rPr>
          <w:rFonts w:hint="eastAsia" w:ascii="PMingLiU" w:hAnsi="PMingLiU" w:cs="PMingLiU"/>
          <w:color w:val="000000"/>
          <w:kern w:val="0"/>
          <w:sz w:val="20"/>
          <w:szCs w:val="20"/>
          <w:lang w:bidi="hi-IN"/>
        </w:rPr>
        <w:t>单位组织</w:t>
      </w:r>
      <w:r>
        <w:rPr>
          <w:rFonts w:hint="eastAsia" w:ascii="Arial" w:hAnsi="Arial" w:cs="PMingLiU"/>
          <w:color w:val="000000"/>
          <w:kern w:val="0"/>
          <w:sz w:val="20"/>
          <w:szCs w:val="20"/>
          <w:lang w:bidi="hi-IN"/>
        </w:rPr>
        <w:t>领导科学民主决策，保证领导政务活动的正常有序开展，确保政令畅通及有效履行行政职能具有重要意义。</w:t>
      </w:r>
      <w:r>
        <w:rPr>
          <w:rFonts w:hint="eastAsia" w:ascii="PMingLiU" w:hAnsi="PMingLiU" w:cs="PMingLiU"/>
          <w:color w:val="000000"/>
          <w:kern w:val="0"/>
          <w:sz w:val="20"/>
          <w:szCs w:val="20"/>
          <w:lang w:bidi="hi-IN"/>
        </w:rPr>
        <w:t>通过本课程培训，</w:t>
      </w:r>
      <w:r>
        <w:rPr>
          <w:rFonts w:hint="eastAsia" w:ascii="Arial" w:hAnsi="Arial" w:cs="PMingLiU"/>
          <w:color w:val="000000"/>
          <w:kern w:val="0"/>
          <w:sz w:val="20"/>
          <w:szCs w:val="20"/>
          <w:lang w:bidi="hi-IN"/>
        </w:rPr>
        <w:t>使政务文秘工作充分发挥好参谋助手、保障服务、研究决策、确保政令畅通的重要作用和职能。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三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选课建议</w:t>
      </w:r>
    </w:p>
    <w:p>
      <w:pPr>
        <w:pStyle w:val="4"/>
        <w:spacing w:before="300" w:beforeAutospacing="0" w:after="300" w:afterAutospacing="0"/>
        <w:ind w:firstLine="480"/>
        <w:rPr>
          <w:rFonts w:cs="Arial" w:asciiTheme="minorEastAsia" w:hAnsiTheme="minorEastAsia" w:eastAsiaTheme="minorEastAsia"/>
          <w:color w:val="222222"/>
          <w:sz w:val="20"/>
          <w:szCs w:val="20"/>
        </w:rPr>
      </w:pPr>
      <w:r>
        <w:rPr>
          <w:rFonts w:hint="eastAsia" w:asciiTheme="minorEastAsia" w:hAnsiTheme="minorEastAsia" w:eastAsiaTheme="minorEastAsia"/>
          <w:color w:val="000000"/>
          <w:sz w:val="20"/>
          <w:szCs w:val="20"/>
        </w:rPr>
        <w:t>本课程是该学科专业基础课程，建议秘书学学生在四年级学习。</w:t>
      </w:r>
      <w:r>
        <w:rPr>
          <w:rFonts w:cs="Arial" w:asciiTheme="minorEastAsia" w:hAnsiTheme="minorEastAsia" w:eastAsiaTheme="minorEastAsia"/>
          <w:color w:val="222222"/>
          <w:sz w:val="20"/>
          <w:szCs w:val="20"/>
        </w:rPr>
        <w:t>秘书教育已经成为教育的一个重要专业或者专业方向，尤其在我国加入世贸组织后，涉外秘书又成为秘书队伍中的一支重要力量。现代秘</w:t>
      </w:r>
      <w:r>
        <w:rPr>
          <w:rFonts w:hint="eastAsia" w:cs="Arial" w:asciiTheme="minorEastAsia" w:hAnsiTheme="minorEastAsia" w:eastAsiaTheme="minorEastAsia"/>
          <w:color w:val="222222"/>
          <w:sz w:val="20"/>
          <w:szCs w:val="20"/>
        </w:rPr>
        <w:t>数</w:t>
      </w:r>
      <w:r>
        <w:rPr>
          <w:rFonts w:cs="Arial" w:asciiTheme="minorEastAsia" w:hAnsiTheme="minorEastAsia" w:eastAsiaTheme="minorEastAsia"/>
          <w:color w:val="222222"/>
          <w:sz w:val="20"/>
          <w:szCs w:val="20"/>
        </w:rPr>
        <w:t>人员是一个很大的群体，秘</w:t>
      </w:r>
      <w:r>
        <w:rPr>
          <w:rFonts w:hint="eastAsia" w:cs="Arial" w:asciiTheme="minorEastAsia" w:hAnsiTheme="minorEastAsia" w:eastAsiaTheme="minorEastAsia"/>
          <w:color w:val="222222"/>
          <w:sz w:val="20"/>
          <w:szCs w:val="20"/>
        </w:rPr>
        <w:t>书</w:t>
      </w:r>
      <w:r>
        <w:rPr>
          <w:rFonts w:cs="Arial" w:asciiTheme="minorEastAsia" w:hAnsiTheme="minorEastAsia" w:eastAsiaTheme="minorEastAsia"/>
          <w:color w:val="222222"/>
          <w:sz w:val="20"/>
          <w:szCs w:val="20"/>
        </w:rPr>
        <w:t>可以胜任经理助理、秘书、统计员、服务员、营业员、文书、资料员、档案员等职位的工作，</w:t>
      </w:r>
      <w:r>
        <w:rPr>
          <w:rFonts w:hint="eastAsia" w:cs="Arial" w:asciiTheme="minorEastAsia" w:hAnsiTheme="minorEastAsia" w:eastAsiaTheme="minorEastAsia"/>
          <w:color w:val="222222"/>
          <w:sz w:val="20"/>
          <w:szCs w:val="20"/>
        </w:rPr>
        <w:t>因此对秘书学学生进行系列讲座很有必要，从而使学生能尽快</w:t>
      </w:r>
      <w:r>
        <w:rPr>
          <w:rFonts w:cs="Arial" w:asciiTheme="minorEastAsia" w:hAnsiTheme="minorEastAsia" w:eastAsiaTheme="minorEastAsia"/>
          <w:color w:val="222222"/>
          <w:sz w:val="20"/>
          <w:szCs w:val="20"/>
        </w:rPr>
        <w:t>适应新形势下社会对各类应用型、技术型秘书人才的需求</w:t>
      </w:r>
      <w:r>
        <w:rPr>
          <w:rFonts w:hint="eastAsia" w:cs="Arial" w:asciiTheme="minorEastAsia" w:hAnsiTheme="minorEastAsia" w:eastAsiaTheme="minorEastAsia"/>
          <w:color w:val="222222"/>
          <w:sz w:val="20"/>
          <w:szCs w:val="20"/>
        </w:rPr>
        <w:t>。</w:t>
      </w:r>
    </w:p>
    <w:p>
      <w:pPr>
        <w:widowControl/>
        <w:spacing w:before="156" w:beforeLines="50" w:after="156" w:afterLines="50" w:line="288" w:lineRule="auto"/>
        <w:jc w:val="left"/>
        <w:rPr>
          <w:rFonts w:ascii="黑体" w:hAnsi="宋体" w:eastAsia="黑体"/>
          <w:sz w:val="24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四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课程与</w:t>
      </w:r>
      <w:r>
        <w:rPr>
          <w:rFonts w:hint="eastAsia" w:ascii="黑体" w:hAnsi="宋体" w:eastAsia="黑体"/>
          <w:sz w:val="24"/>
        </w:rPr>
        <w:t>专业毕业要求</w:t>
      </w:r>
      <w:r>
        <w:rPr>
          <w:rFonts w:ascii="黑体" w:hAnsi="宋体" w:eastAsia="黑体"/>
          <w:sz w:val="24"/>
        </w:rPr>
        <w:t>的关联性（必填项）</w:t>
      </w:r>
    </w:p>
    <w:tbl>
      <w:tblPr>
        <w:tblStyle w:val="6"/>
        <w:tblW w:w="842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900"/>
        <w:gridCol w:w="3435"/>
        <w:gridCol w:w="339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L011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LO111</w:t>
            </w:r>
          </w:p>
        </w:tc>
        <w:tc>
          <w:tcPr>
            <w:tcW w:w="3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倾听他人意见、尊重他人观点、分析他人需求。</w:t>
            </w:r>
          </w:p>
        </w:tc>
        <w:tc>
          <w:tcPr>
            <w:tcW w:w="3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Arial" w:hAnsi="Arial" w:cs="Arial"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>●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LO112</w:t>
            </w:r>
          </w:p>
        </w:tc>
        <w:tc>
          <w:tcPr>
            <w:tcW w:w="3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应用书面或口头形式，阐释自己的观点，有效沟通。</w:t>
            </w:r>
          </w:p>
        </w:tc>
        <w:tc>
          <w:tcPr>
            <w:tcW w:w="33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L021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LO211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能根据需要确定学习目标，并设计学习计划。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LO212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L031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辅助决策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收集、处理信息，调查研究，能够辅助领导确定决策目标、拟定及实施决策方案，及时向领导反馈落实情况。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Arial" w:hAnsi="Arial" w:cs="Arial"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>●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L032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沟通协调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在上下层级间有效进行信息沟通，有效传递领导的管理要求，收集基层信息、反馈给管理层。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Arial" w:hAnsi="Arial" w:cs="Arial"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>●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L033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商务管理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掌握基础的商务和管理知识。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Arial" w:hAnsi="Arial" w:cs="Arial"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>●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L034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办公室事务管理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具有办公室环境管理、接待、日常事务管理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等方面的基本能力。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L035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文书拟写及处理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了解文书基础知识，拟写常用法定公文，拟写常用礼仪文书，拟写常用事务文书，拟写常用商务文书，处理收文与发文，管理文书等。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L041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LO411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遵纪守法：遵守校纪校规，具备法律意识。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LO412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诚实守信：为人诚实，信守承诺，尽职尽责。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LO413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Arial" w:hAnsi="Arial" w:cs="Arial"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>●</w:t>
            </w:r>
          </w:p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LO414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身心健康，能承受学习和生活中的压力。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L051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LO511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在集体活动中能主动担任自己的角色，与其他成员密切合作，共同完成任务。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LO512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有质疑精神，能有逻辑的分析与批判。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LO513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能用创新的方法或者多种方法解决复杂问题或真实问题。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●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LO514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了解行业前沿知识技术。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Arial" w:hAnsi="Arial" w:cs="Arial"/>
                <w:sz w:val="40"/>
                <w:szCs w:val="4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L061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LO611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能够根据需要进行专业文献检索。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LO612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能使用合适的软件来搜集和分析所需的信息数据。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LO613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能把现代信息技术融入到秘书工作各个环节。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Arial" w:hAnsi="Arial" w:cs="Arial"/>
                <w:sz w:val="40"/>
                <w:szCs w:val="4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L071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LO711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爱党爱国：了解祖国的优秀传统文化和革命历史，构建爱党爱国的理想信念。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LO712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助人为乐：富于爱心，懂得感恩，具备助人为乐的品质。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LO713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奉献社会：具有服务企业、服务社会的意愿和行为能力。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Arial" w:hAnsi="Arial" w:cs="Arial"/>
                <w:sz w:val="40"/>
                <w:szCs w:val="4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LO714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爱护环境：具有爱护环境的意识和与自然和谐相处的环保理念。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L081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L0811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具备外语表达沟通能力，达到本专业的要求。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L0812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理解其他国家历史文化，有跨文化交流能力。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Arial" w:hAnsi="Arial" w:cs="Arial"/>
                <w:sz w:val="40"/>
                <w:szCs w:val="4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L0813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在职业活动中具有国际视野。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●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</w:p>
    <w:p>
      <w:pPr>
        <w:ind w:firstLine="420" w:firstLineChars="200"/>
      </w:pPr>
      <w:r>
        <w:rPr>
          <w:rFonts w:hint="eastAsia"/>
        </w:rPr>
        <w:t>备注：LO=</w:t>
      </w:r>
      <w:r>
        <w:t>learning outcomes</w:t>
      </w:r>
      <w:r>
        <w:rPr>
          <w:rFonts w:hint="eastAsia"/>
        </w:rPr>
        <w:t>（学习成果）</w:t>
      </w:r>
    </w:p>
    <w:p/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五、</w:t>
      </w:r>
      <w:r>
        <w:rPr>
          <w:rFonts w:ascii="黑体" w:hAnsi="宋体" w:eastAsia="黑体"/>
          <w:sz w:val="24"/>
        </w:rPr>
        <w:t>课程</w:t>
      </w:r>
      <w:r>
        <w:rPr>
          <w:rFonts w:hint="eastAsia" w:ascii="黑体" w:hAnsi="宋体" w:eastAsia="黑体"/>
          <w:sz w:val="24"/>
        </w:rPr>
        <w:t>目标/课程预期学习成果</w:t>
      </w:r>
      <w:r>
        <w:rPr>
          <w:rFonts w:ascii="黑体" w:hAnsi="宋体" w:eastAsia="黑体"/>
          <w:sz w:val="24"/>
        </w:rPr>
        <w:t>（必填项）（</w:t>
      </w:r>
      <w:r>
        <w:rPr>
          <w:rFonts w:hint="eastAsia" w:ascii="黑体" w:hAnsi="宋体" w:eastAsia="黑体"/>
          <w:sz w:val="24"/>
        </w:rPr>
        <w:t>预期学习成果</w:t>
      </w:r>
      <w:r>
        <w:rPr>
          <w:rFonts w:ascii="黑体" w:hAnsi="宋体" w:eastAsia="黑体"/>
          <w:sz w:val="24"/>
        </w:rPr>
        <w:t>要可测量/能够证明）</w:t>
      </w:r>
    </w:p>
    <w:p>
      <w:pPr>
        <w:spacing w:line="360" w:lineRule="auto"/>
        <w:ind w:firstLine="500" w:firstLineChars="250"/>
        <w:rPr>
          <w:sz w:val="20"/>
          <w:szCs w:val="20"/>
        </w:rPr>
      </w:pPr>
    </w:p>
    <w:tbl>
      <w:tblPr>
        <w:tblStyle w:val="6"/>
        <w:tblpPr w:leftFromText="180" w:rightFromText="180" w:vertAnchor="text" w:horzAnchor="page" w:tblpX="2163" w:tblpY="152"/>
        <w:tblOverlap w:val="never"/>
        <w:tblW w:w="7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175"/>
        <w:gridCol w:w="2470"/>
        <w:gridCol w:w="219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课程预期</w:t>
            </w:r>
          </w:p>
          <w:p>
            <w:pPr>
              <w:snapToGrid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课程目标</w:t>
            </w:r>
          </w:p>
          <w:p>
            <w:pPr>
              <w:snapToGrid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LO111</w:t>
            </w: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倾听他人意见、尊重他人观点、分析他人需求。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课堂上运用案例分析，综合运用行政管理方法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互动练习结果分析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53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LO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收集、处理信息，调查研究，能够辅助领导确定决策目标、拟定及实施决策方案，及时向领导反馈落实情况。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启发式教学、案例分析法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案例分析研究结果讨论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LO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在上下层级间有效进行信息沟通，有效传递领导的管理要求，收集基层信息、反馈给管理层。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案例分析法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沟通与个人特质分析验证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17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LO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掌握基础的商务和管理知识。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模拟情景等教学方式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案例分析研究结果讨论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17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LO413</w:t>
            </w: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课堂上运用案例分析，综合运用行政管理方法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案例分析与说明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17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LO513</w:t>
            </w: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能用创新的方法或者多种方法解决复杂问题或真实问题。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课堂上运用案例分析，综合运用行政管理方法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分组讨论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17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LO813</w:t>
            </w: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在职业活动中具有国际视野。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启发式教学、案例分析法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分组讨论与研究分析</w:t>
            </w:r>
          </w:p>
        </w:tc>
      </w:tr>
    </w:tbl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六、</w:t>
      </w:r>
      <w:r>
        <w:rPr>
          <w:rFonts w:ascii="黑体" w:hAnsi="宋体" w:eastAsia="黑体"/>
          <w:sz w:val="24"/>
        </w:rPr>
        <w:t>课程内容</w:t>
      </w:r>
    </w:p>
    <w:p>
      <w:p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单元一、</w:t>
      </w:r>
      <w:r>
        <w:rPr>
          <w:rFonts w:hint="eastAsia"/>
          <w:bCs/>
          <w:sz w:val="20"/>
          <w:szCs w:val="20"/>
        </w:rPr>
        <w:t>现代企业需要什么样的秘书</w:t>
      </w:r>
    </w:p>
    <w:p>
      <w:p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教学要求： </w:t>
      </w:r>
    </w:p>
    <w:p>
      <w:pPr>
        <w:pStyle w:val="10"/>
        <w:numPr>
          <w:ilvl w:val="0"/>
          <w:numId w:val="1"/>
        </w:numPr>
        <w:snapToGrid w:val="0"/>
        <w:spacing w:line="288" w:lineRule="auto"/>
        <w:ind w:firstLineChars="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通过讲授，使学生掌握现代企业对秘书的基本要求，了解企业的不同及分类等。</w:t>
      </w:r>
    </w:p>
    <w:p>
      <w:p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2、学完本章后，能够熟练了解企业中各单位对秘书的需求，以及素质要求。  </w:t>
      </w:r>
    </w:p>
    <w:p>
      <w:p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教学内容： </w:t>
      </w:r>
    </w:p>
    <w:p>
      <w:p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1-1、</w:t>
      </w:r>
      <w:r>
        <w:rPr>
          <w:rFonts w:hint="eastAsia"/>
          <w:bCs/>
          <w:sz w:val="20"/>
          <w:szCs w:val="20"/>
        </w:rPr>
        <w:t>分析现代企业所需要的X型人才，运用实际案例说明私企与央企的不同。</w:t>
      </w:r>
    </w:p>
    <w:p>
      <w:p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1-2、重点掌握个人素质的提升  </w:t>
      </w:r>
    </w:p>
    <w:p>
      <w:p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教学建议： </w:t>
      </w:r>
    </w:p>
    <w:p>
      <w:p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1、使得</w:t>
      </w:r>
      <w:r>
        <w:rPr>
          <w:rFonts w:hint="eastAsia"/>
          <w:bCs/>
          <w:sz w:val="20"/>
          <w:szCs w:val="20"/>
        </w:rPr>
        <w:t>学生在基础秘书学的概念上，知道现实社会对年轻人的想法</w:t>
      </w:r>
    </w:p>
    <w:p>
      <w:pPr>
        <w:snapToGrid w:val="0"/>
        <w:spacing w:line="288" w:lineRule="auto"/>
        <w:rPr>
          <w:bCs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2、使</w:t>
      </w:r>
      <w:r>
        <w:rPr>
          <w:rFonts w:hint="eastAsia"/>
          <w:bCs/>
          <w:sz w:val="20"/>
          <w:szCs w:val="20"/>
        </w:rPr>
        <w:t>学生了解对自我要求普遍存有过高的理想，过低的能力</w:t>
      </w:r>
    </w:p>
    <w:p>
      <w:pPr>
        <w:snapToGrid w:val="0"/>
        <w:spacing w:line="288" w:lineRule="auto"/>
        <w:rPr>
          <w:bCs/>
          <w:sz w:val="20"/>
          <w:szCs w:val="20"/>
        </w:rPr>
      </w:pPr>
    </w:p>
    <w:p>
      <w:p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单元二、</w:t>
      </w:r>
      <w:r>
        <w:rPr>
          <w:rFonts w:hint="eastAsia"/>
          <w:bCs/>
          <w:sz w:val="20"/>
          <w:szCs w:val="20"/>
        </w:rPr>
        <w:t>秘书全景</w:t>
      </w:r>
    </w:p>
    <w:p>
      <w:p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教学要求： </w:t>
      </w:r>
    </w:p>
    <w:p>
      <w:pPr>
        <w:pStyle w:val="10"/>
        <w:numPr>
          <w:ilvl w:val="0"/>
          <w:numId w:val="2"/>
        </w:numPr>
        <w:snapToGrid w:val="0"/>
        <w:spacing w:line="288" w:lineRule="auto"/>
        <w:ind w:firstLineChars="0"/>
        <w:rPr>
          <w:rFonts w:ascii="宋体" w:hAnsi="宋体"/>
          <w:sz w:val="20"/>
          <w:szCs w:val="20"/>
        </w:rPr>
      </w:pPr>
      <w:bookmarkStart w:id="1" w:name="_Hlk494033643"/>
      <w:r>
        <w:rPr>
          <w:rFonts w:hint="eastAsia" w:ascii="宋体" w:hAnsi="宋体"/>
          <w:sz w:val="20"/>
          <w:szCs w:val="20"/>
        </w:rPr>
        <w:t>学完本章后</w:t>
      </w:r>
      <w:bookmarkEnd w:id="1"/>
      <w:r>
        <w:rPr>
          <w:rFonts w:hint="eastAsia" w:ascii="宋体" w:hAnsi="宋体"/>
          <w:sz w:val="20"/>
          <w:szCs w:val="20"/>
        </w:rPr>
        <w:t>，掌握好</w:t>
      </w:r>
      <w:r>
        <w:rPr>
          <w:rFonts w:hint="eastAsia"/>
          <w:bCs/>
          <w:sz w:val="20"/>
          <w:szCs w:val="20"/>
        </w:rPr>
        <w:t>当下秘书在行政职务岗位上的表现与需求</w:t>
      </w:r>
    </w:p>
    <w:p>
      <w:p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教学内容：  </w:t>
      </w:r>
    </w:p>
    <w:p>
      <w:pPr>
        <w:pStyle w:val="10"/>
        <w:numPr>
          <w:ilvl w:val="1"/>
          <w:numId w:val="3"/>
        </w:numPr>
        <w:snapToGrid w:val="0"/>
        <w:spacing w:line="288" w:lineRule="auto"/>
        <w:ind w:firstLineChars="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了解秘书在企业领导身边的重要性 </w:t>
      </w:r>
    </w:p>
    <w:p>
      <w:pPr>
        <w:pStyle w:val="10"/>
        <w:numPr>
          <w:ilvl w:val="1"/>
          <w:numId w:val="3"/>
        </w:numPr>
        <w:snapToGrid w:val="0"/>
        <w:spacing w:line="288" w:lineRule="auto"/>
        <w:ind w:firstLineChars="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掌握领导与秘书沟通的关键</w:t>
      </w:r>
    </w:p>
    <w:p>
      <w:pPr>
        <w:pStyle w:val="10"/>
        <w:numPr>
          <w:ilvl w:val="1"/>
          <w:numId w:val="3"/>
        </w:numPr>
        <w:snapToGrid w:val="0"/>
        <w:spacing w:line="288" w:lineRule="auto"/>
        <w:ind w:firstLineChars="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能综合处理紧急事件的能力（重点） </w:t>
      </w:r>
    </w:p>
    <w:p>
      <w:p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教学建议： </w:t>
      </w:r>
    </w:p>
    <w:p>
      <w:p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hint="eastAsia"/>
          <w:bCs/>
          <w:sz w:val="20"/>
          <w:szCs w:val="20"/>
        </w:rPr>
        <w:t>学生对当下秘书工作环境认识不清，受媒体影响极大。</w:t>
      </w:r>
      <w:r>
        <w:rPr>
          <w:rFonts w:hint="eastAsia" w:ascii="宋体" w:hAnsi="宋体"/>
          <w:sz w:val="20"/>
          <w:szCs w:val="20"/>
        </w:rPr>
        <w:t>学完本章后</w:t>
      </w:r>
      <w:r>
        <w:rPr>
          <w:rFonts w:hint="eastAsia"/>
          <w:bCs/>
          <w:sz w:val="20"/>
          <w:szCs w:val="20"/>
        </w:rPr>
        <w:t>学生应该充分发挥在校所学知识与技能顺利进入就业市场。</w:t>
      </w:r>
    </w:p>
    <w:p>
      <w:pPr>
        <w:pStyle w:val="10"/>
        <w:snapToGrid w:val="0"/>
        <w:spacing w:line="288" w:lineRule="auto"/>
        <w:ind w:left="495" w:firstLine="0" w:firstLineChars="0"/>
        <w:rPr>
          <w:rFonts w:ascii="宋体" w:hAnsi="宋体"/>
          <w:sz w:val="20"/>
          <w:szCs w:val="20"/>
        </w:rPr>
      </w:pP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单元三、 </w:t>
      </w:r>
      <w:r>
        <w:rPr>
          <w:rFonts w:hint="eastAsia"/>
          <w:bCs/>
          <w:sz w:val="20"/>
          <w:szCs w:val="20"/>
        </w:rPr>
        <w:t>秘书工作与职涯规划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教学要求 </w:t>
      </w:r>
    </w:p>
    <w:p>
      <w:pPr>
        <w:pStyle w:val="10"/>
        <w:numPr>
          <w:ilvl w:val="0"/>
          <w:numId w:val="4"/>
        </w:numPr>
        <w:snapToGrid w:val="0"/>
        <w:spacing w:line="288" w:lineRule="auto"/>
        <w:ind w:right="26" w:firstLineChars="0"/>
        <w:rPr>
          <w:sz w:val="20"/>
          <w:szCs w:val="20"/>
        </w:rPr>
      </w:pPr>
      <w:r>
        <w:rPr>
          <w:rFonts w:hint="eastAsia"/>
          <w:sz w:val="20"/>
          <w:szCs w:val="20"/>
        </w:rPr>
        <w:t>了解生涯规划的意义</w:t>
      </w:r>
    </w:p>
    <w:p>
      <w:pPr>
        <w:pStyle w:val="10"/>
        <w:numPr>
          <w:ilvl w:val="0"/>
          <w:numId w:val="4"/>
        </w:numPr>
        <w:snapToGrid w:val="0"/>
        <w:spacing w:line="288" w:lineRule="auto"/>
        <w:ind w:right="26" w:firstLineChars="0"/>
        <w:rPr>
          <w:sz w:val="20"/>
          <w:szCs w:val="20"/>
        </w:rPr>
      </w:pPr>
      <w:r>
        <w:rPr>
          <w:rFonts w:hint="eastAsia"/>
          <w:sz w:val="20"/>
          <w:szCs w:val="20"/>
        </w:rPr>
        <w:t>懂得生涯规划的基本原则 </w:t>
      </w:r>
    </w:p>
    <w:p>
      <w:pPr>
        <w:pStyle w:val="10"/>
        <w:numPr>
          <w:ilvl w:val="0"/>
          <w:numId w:val="4"/>
        </w:numPr>
        <w:snapToGrid w:val="0"/>
        <w:spacing w:line="288" w:lineRule="auto"/>
        <w:ind w:right="26" w:firstLineChars="0"/>
        <w:rPr>
          <w:sz w:val="20"/>
          <w:szCs w:val="20"/>
        </w:rPr>
      </w:pPr>
      <w:r>
        <w:rPr>
          <w:rFonts w:hint="eastAsia"/>
          <w:sz w:val="20"/>
          <w:szCs w:val="20"/>
        </w:rPr>
        <w:t>了解如何为自己规划未来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教学内容 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3-1：</w:t>
      </w:r>
      <w:r>
        <w:rPr>
          <w:rFonts w:hint="eastAsia"/>
          <w:bCs/>
          <w:sz w:val="20"/>
          <w:szCs w:val="20"/>
        </w:rPr>
        <w:t>运用Holland的生涯规划指标，让学生理解如何规划未来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3-2：掌握科学方法分析就业市场与自我评价（重点）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教学建议 </w:t>
      </w:r>
    </w:p>
    <w:p>
      <w:pPr>
        <w:snapToGrid w:val="0"/>
        <w:spacing w:line="288" w:lineRule="auto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针对每一个学生必须给予个别指导与辅导</w:t>
      </w:r>
      <w:r>
        <w:rPr>
          <w:rFonts w:hint="eastAsia"/>
          <w:sz w:val="20"/>
          <w:szCs w:val="20"/>
        </w:rPr>
        <w:t>，使得</w:t>
      </w:r>
      <w:r>
        <w:rPr>
          <w:rFonts w:hint="eastAsia"/>
          <w:bCs/>
          <w:sz w:val="20"/>
          <w:szCs w:val="20"/>
        </w:rPr>
        <w:t>学生具有足够的信心完成上岗前的准备</w:t>
      </w:r>
    </w:p>
    <w:p>
      <w:pPr>
        <w:snapToGrid w:val="0"/>
        <w:spacing w:line="288" w:lineRule="auto"/>
        <w:rPr>
          <w:bCs/>
          <w:sz w:val="20"/>
          <w:szCs w:val="20"/>
        </w:rPr>
      </w:pP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单元四、</w:t>
      </w:r>
      <w:r>
        <w:rPr>
          <w:rFonts w:hint="eastAsia" w:ascii="宋体" w:hAnsi="宋体"/>
          <w:sz w:val="20"/>
          <w:szCs w:val="20"/>
        </w:rPr>
        <w:t>成为好秘书前的七个字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教学要求： 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bookmarkStart w:id="2" w:name="_Hlk494034593"/>
      <w:r>
        <w:rPr>
          <w:rFonts w:hint="eastAsia"/>
          <w:sz w:val="20"/>
          <w:szCs w:val="20"/>
        </w:rPr>
        <w:t>了解秘书在上岗前的准备与在校学生应有的行为改变</w:t>
      </w:r>
    </w:p>
    <w:bookmarkEnd w:id="2"/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教学内容： 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4-1、老师个人17年秘书经验分享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4-2、秘书养成教育与秘书职前准备工作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 4-3、如何成为一个领导的得力助手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教学建议： 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运用老师的亲身经历说明秘书工作的酸甜苦辣与乐趣</w:t>
      </w:r>
    </w:p>
    <w:p>
      <w:pPr>
        <w:pStyle w:val="10"/>
        <w:snapToGrid w:val="0"/>
        <w:spacing w:line="288" w:lineRule="auto"/>
        <w:ind w:left="360" w:right="26" w:firstLine="0" w:firstLineChars="0"/>
        <w:rPr>
          <w:sz w:val="20"/>
          <w:szCs w:val="20"/>
        </w:rPr>
      </w:pP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单元五、 </w:t>
      </w:r>
      <w:r>
        <w:rPr>
          <w:rFonts w:hint="eastAsia" w:ascii="宋体" w:hAnsi="宋体"/>
          <w:sz w:val="20"/>
          <w:szCs w:val="20"/>
        </w:rPr>
        <w:t>送礼的艺术与包装技巧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教学要求： 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1、了解送礼的意义与东西方送礼的不同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2、了解礼物包装的各种方式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教学内容： 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5-1、送礼的意义与时节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5-2、送礼的各种禁忌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5-3、示范送礼的包装方法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教学建议： 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学生自备礼物包装工具如包装纸以及工具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单元六、</w:t>
      </w:r>
      <w:r>
        <w:rPr>
          <w:rFonts w:hint="eastAsia" w:ascii="宋体" w:hAnsi="宋体"/>
          <w:sz w:val="20"/>
          <w:szCs w:val="20"/>
        </w:rPr>
        <w:t>世界各国的秘书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教学要求： 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1、熟悉世界各国的秘书组织与交流活动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2、能初步理解世界各地的秘书证书考试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教学内容： 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6-1、亚太秘书协会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 6-2、欧洲秘书协会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6-3、澳大利亚秘书协会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 6-4、美国国际专业秘书协会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教学建议： 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收集相关的网站信息进行了解</w:t>
      </w:r>
    </w:p>
    <w:p>
      <w:pPr>
        <w:pStyle w:val="10"/>
        <w:snapToGrid w:val="0"/>
        <w:spacing w:line="288" w:lineRule="auto"/>
        <w:ind w:left="360" w:right="26" w:firstLine="0" w:firstLineChars="0"/>
        <w:rPr>
          <w:sz w:val="20"/>
          <w:szCs w:val="20"/>
        </w:rPr>
      </w:pPr>
      <w:r>
        <w:rPr>
          <w:rFonts w:hint="eastAsia"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单元七、 </w:t>
      </w:r>
      <w:r>
        <w:rPr>
          <w:rFonts w:hint="eastAsia" w:ascii="宋体" w:hAnsi="宋体"/>
          <w:sz w:val="20"/>
          <w:szCs w:val="20"/>
        </w:rPr>
        <w:t>青年创业之道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教学要求： 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1 、分析创业的动机与机会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 2 、掌握鉴定自我创业的可能性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3 、了解创业的困难点与计划点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教学内容： 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7-1、创业案例分析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7-2、创业与就业有何不同（重点）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 7-3、科学测评分析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教学建议： </w:t>
      </w:r>
    </w:p>
    <w:p>
      <w:pPr>
        <w:pStyle w:val="10"/>
        <w:numPr>
          <w:ilvl w:val="0"/>
          <w:numId w:val="5"/>
        </w:numPr>
        <w:snapToGrid w:val="0"/>
        <w:spacing w:line="288" w:lineRule="auto"/>
        <w:ind w:right="26" w:firstLineChars="0"/>
        <w:rPr>
          <w:sz w:val="20"/>
          <w:szCs w:val="20"/>
        </w:rPr>
      </w:pPr>
      <w:r>
        <w:rPr>
          <w:rFonts w:hint="eastAsia"/>
          <w:sz w:val="20"/>
          <w:szCs w:val="20"/>
        </w:rPr>
        <w:t>弄清创业的机会点与困难度，分析个人的能力。</w:t>
      </w:r>
    </w:p>
    <w:p>
      <w:pPr>
        <w:pStyle w:val="10"/>
        <w:snapToGrid w:val="0"/>
        <w:spacing w:line="288" w:lineRule="auto"/>
        <w:ind w:left="360" w:right="26" w:firstLine="0" w:firstLineChars="0"/>
        <w:rPr>
          <w:sz w:val="20"/>
          <w:szCs w:val="20"/>
        </w:rPr>
      </w:pPr>
      <w:r>
        <w:rPr>
          <w:rFonts w:hint="eastAsia"/>
          <w:sz w:val="20"/>
          <w:szCs w:val="20"/>
        </w:rPr>
        <w:t>   </w:t>
      </w:r>
    </w:p>
    <w:p>
      <w:pPr>
        <w:pStyle w:val="10"/>
        <w:snapToGrid w:val="0"/>
        <w:spacing w:line="288" w:lineRule="auto"/>
        <w:ind w:leftChars="-36" w:right="26" w:hanging="76" w:hangingChars="38"/>
        <w:rPr>
          <w:sz w:val="20"/>
          <w:szCs w:val="20"/>
        </w:rPr>
      </w:pPr>
      <w:r>
        <w:rPr>
          <w:rFonts w:hint="eastAsia"/>
          <w:sz w:val="20"/>
          <w:szCs w:val="20"/>
        </w:rPr>
        <w:t>单元八、 </w:t>
      </w:r>
      <w:r>
        <w:rPr>
          <w:rFonts w:hint="eastAsia" w:ascii="宋体" w:hAnsi="宋体"/>
          <w:sz w:val="20"/>
          <w:szCs w:val="20"/>
        </w:rPr>
        <w:t>成功的面试技巧</w:t>
      </w:r>
    </w:p>
    <w:p>
      <w:pPr>
        <w:pStyle w:val="10"/>
        <w:snapToGrid w:val="0"/>
        <w:spacing w:line="288" w:lineRule="auto"/>
        <w:ind w:leftChars="-36" w:right="26" w:hanging="76" w:hangingChars="38"/>
        <w:rPr>
          <w:sz w:val="20"/>
          <w:szCs w:val="20"/>
        </w:rPr>
      </w:pPr>
      <w:r>
        <w:rPr>
          <w:rFonts w:hint="eastAsia"/>
          <w:sz w:val="20"/>
          <w:szCs w:val="20"/>
        </w:rPr>
        <w:t>教学要求： </w:t>
      </w:r>
    </w:p>
    <w:p>
      <w:pPr>
        <w:pStyle w:val="10"/>
        <w:snapToGrid w:val="0"/>
        <w:spacing w:line="288" w:lineRule="auto"/>
        <w:ind w:left="-2" w:leftChars="-37" w:right="26" w:hanging="76" w:hangingChars="38"/>
        <w:rPr>
          <w:sz w:val="20"/>
          <w:szCs w:val="20"/>
        </w:rPr>
      </w:pPr>
      <w:r>
        <w:rPr>
          <w:rFonts w:hint="eastAsia"/>
          <w:sz w:val="20"/>
          <w:szCs w:val="20"/>
        </w:rPr>
        <w:t>1、了解面试过程与方法</w:t>
      </w:r>
    </w:p>
    <w:p>
      <w:pPr>
        <w:pStyle w:val="10"/>
        <w:snapToGrid w:val="0"/>
        <w:spacing w:line="288" w:lineRule="auto"/>
        <w:ind w:left="-2" w:leftChars="-37" w:right="26" w:hanging="76" w:hangingChars="38"/>
        <w:rPr>
          <w:sz w:val="20"/>
          <w:szCs w:val="20"/>
        </w:rPr>
      </w:pPr>
      <w:r>
        <w:rPr>
          <w:rFonts w:hint="eastAsia"/>
          <w:sz w:val="20"/>
          <w:szCs w:val="20"/>
        </w:rPr>
        <w:t>2、应知悉自传与履历的写法</w:t>
      </w:r>
    </w:p>
    <w:p>
      <w:pPr>
        <w:pStyle w:val="10"/>
        <w:snapToGrid w:val="0"/>
        <w:spacing w:line="288" w:lineRule="auto"/>
        <w:ind w:left="-2" w:leftChars="-37" w:right="26" w:hanging="76" w:hangingChars="38"/>
        <w:rPr>
          <w:sz w:val="20"/>
          <w:szCs w:val="20"/>
        </w:rPr>
      </w:pPr>
      <w:r>
        <w:rPr>
          <w:rFonts w:hint="eastAsia"/>
          <w:sz w:val="20"/>
          <w:szCs w:val="20"/>
        </w:rPr>
        <w:t> 3、掌握现场面试的技巧与礼仪</w:t>
      </w:r>
    </w:p>
    <w:p>
      <w:pPr>
        <w:pStyle w:val="10"/>
        <w:snapToGrid w:val="0"/>
        <w:spacing w:line="288" w:lineRule="auto"/>
        <w:ind w:left="-2" w:leftChars="-37" w:right="26" w:hanging="76" w:hangingChars="38"/>
        <w:rPr>
          <w:sz w:val="20"/>
          <w:szCs w:val="20"/>
        </w:rPr>
      </w:pPr>
      <w:r>
        <w:rPr>
          <w:rFonts w:hint="eastAsia"/>
          <w:sz w:val="20"/>
          <w:szCs w:val="20"/>
        </w:rPr>
        <w:t>教学内容： </w:t>
      </w:r>
    </w:p>
    <w:p>
      <w:pPr>
        <w:pStyle w:val="10"/>
        <w:snapToGrid w:val="0"/>
        <w:spacing w:line="288" w:lineRule="auto"/>
        <w:ind w:left="-2" w:leftChars="-37" w:right="26" w:hanging="76" w:hangingChars="38"/>
        <w:rPr>
          <w:sz w:val="20"/>
          <w:szCs w:val="20"/>
        </w:rPr>
      </w:pPr>
      <w:r>
        <w:rPr>
          <w:rFonts w:hint="eastAsia"/>
          <w:sz w:val="20"/>
          <w:szCs w:val="20"/>
        </w:rPr>
        <w:t>8-1、面试的各种程序</w:t>
      </w:r>
    </w:p>
    <w:p>
      <w:pPr>
        <w:pStyle w:val="10"/>
        <w:snapToGrid w:val="0"/>
        <w:spacing w:line="288" w:lineRule="auto"/>
        <w:ind w:left="-2" w:leftChars="-37" w:right="26" w:hanging="76" w:hangingChars="38"/>
        <w:rPr>
          <w:sz w:val="20"/>
          <w:szCs w:val="20"/>
        </w:rPr>
      </w:pPr>
      <w:r>
        <w:rPr>
          <w:rFonts w:hint="eastAsia"/>
          <w:sz w:val="20"/>
          <w:szCs w:val="20"/>
        </w:rPr>
        <w:t>8-2、面试的问题与回答的禁忌</w:t>
      </w:r>
    </w:p>
    <w:p>
      <w:pPr>
        <w:pStyle w:val="10"/>
        <w:snapToGrid w:val="0"/>
        <w:spacing w:line="288" w:lineRule="auto"/>
        <w:ind w:left="-2" w:leftChars="-37" w:right="26" w:hanging="76" w:hangingChars="38"/>
        <w:rPr>
          <w:sz w:val="20"/>
          <w:szCs w:val="20"/>
        </w:rPr>
      </w:pPr>
      <w:r>
        <w:rPr>
          <w:rFonts w:hint="eastAsia"/>
          <w:sz w:val="20"/>
          <w:szCs w:val="20"/>
        </w:rPr>
        <w:t>8-3、面试的礼仪示范</w:t>
      </w:r>
    </w:p>
    <w:p>
      <w:pPr>
        <w:pStyle w:val="10"/>
        <w:snapToGrid w:val="0"/>
        <w:spacing w:line="288" w:lineRule="auto"/>
        <w:ind w:left="-2" w:leftChars="-37" w:right="26" w:hanging="76" w:hangingChars="38"/>
        <w:rPr>
          <w:sz w:val="20"/>
          <w:szCs w:val="20"/>
        </w:rPr>
      </w:pPr>
      <w:r>
        <w:rPr>
          <w:rFonts w:hint="eastAsia"/>
          <w:sz w:val="20"/>
          <w:szCs w:val="20"/>
        </w:rPr>
        <w:t>教学建议： </w:t>
      </w:r>
    </w:p>
    <w:p>
      <w:pPr>
        <w:pStyle w:val="10"/>
        <w:numPr>
          <w:ilvl w:val="0"/>
          <w:numId w:val="6"/>
        </w:numPr>
        <w:snapToGrid w:val="0"/>
        <w:spacing w:line="288" w:lineRule="auto"/>
        <w:ind w:right="26" w:firstLineChars="0"/>
        <w:rPr>
          <w:sz w:val="20"/>
          <w:szCs w:val="20"/>
        </w:rPr>
      </w:pPr>
      <w:r>
        <w:rPr>
          <w:rFonts w:hint="eastAsia"/>
          <w:sz w:val="20"/>
          <w:szCs w:val="20"/>
        </w:rPr>
        <w:t>实例讲解  </w:t>
      </w: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七、课内实验名称及基本要求（选填，适用于课内实验）</w:t>
      </w:r>
    </w:p>
    <w:p>
      <w:pPr>
        <w:snapToGrid w:val="0"/>
        <w:spacing w:line="288" w:lineRule="auto"/>
        <w:ind w:right="26" w:firstLine="400" w:firstLineChars="200"/>
        <w:rPr>
          <w:sz w:val="20"/>
          <w:szCs w:val="20"/>
        </w:rPr>
      </w:pPr>
      <w:r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Style w:val="6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620"/>
        <w:gridCol w:w="3240"/>
        <w:gridCol w:w="900"/>
        <w:gridCol w:w="1057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实验</w:t>
            </w:r>
          </w:p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>
      <w:pPr>
        <w:snapToGrid w:val="0"/>
        <w:spacing w:line="288" w:lineRule="auto"/>
        <w:ind w:right="2520" w:firstLine="400" w:firstLineChars="200"/>
        <w:rPr>
          <w:sz w:val="20"/>
          <w:szCs w:val="20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七、实践环节各阶段名称及基本要求（选填，适用于集中实践、实习、毕业设计等）</w:t>
      </w:r>
    </w:p>
    <w:p>
      <w:pPr>
        <w:snapToGrid w:val="0"/>
        <w:spacing w:line="288" w:lineRule="auto"/>
        <w:ind w:right="26" w:firstLine="400" w:firstLineChars="2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列出实践环节各阶段的名称、实践的天数或周数及每个阶段的内容简述。</w:t>
      </w:r>
    </w:p>
    <w:tbl>
      <w:tblPr>
        <w:tblStyle w:val="6"/>
        <w:tblW w:w="864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171"/>
        <w:gridCol w:w="3240"/>
        <w:gridCol w:w="1260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序号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300" w:firstLineChars="15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各阶段名称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900" w:firstLineChars="45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实践主要内容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天数/周数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</w:tbl>
    <w:p>
      <w:pPr>
        <w:snapToGrid w:val="0"/>
        <w:spacing w:line="288" w:lineRule="auto"/>
        <w:ind w:right="2520"/>
        <w:rPr>
          <w:rFonts w:ascii="黑体" w:hAnsi="宋体" w:eastAsia="黑体"/>
          <w:sz w:val="24"/>
        </w:rPr>
      </w:pPr>
    </w:p>
    <w:tbl>
      <w:tblPr>
        <w:tblStyle w:val="6"/>
        <w:tblpPr w:leftFromText="180" w:rightFromText="180" w:vertAnchor="text" w:horzAnchor="page" w:tblpX="1853" w:tblpY="717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期末闭卷考试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bookmarkStart w:id="3" w:name="_GoBack"/>
            <w:r>
              <w:rPr>
                <w:rFonts w:hint="eastAsia" w:ascii="宋体" w:hAnsi="宋体"/>
                <w:bCs/>
                <w:color w:val="000000"/>
                <w:szCs w:val="20"/>
              </w:rPr>
              <w:t>40%</w:t>
            </w:r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分组讨论/汇报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个人展示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小组项目报告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20%</w:t>
            </w:r>
          </w:p>
        </w:tc>
      </w:tr>
    </w:tbl>
    <w:p>
      <w:pPr>
        <w:snapToGrid w:val="0"/>
        <w:spacing w:before="156" w:beforeLines="50" w:line="288" w:lineRule="auto"/>
        <w:ind w:firstLine="400" w:firstLineChars="2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 xml:space="preserve"> “</w:t>
      </w:r>
      <w:r>
        <w:rPr>
          <w:rFonts w:ascii="宋体" w:hAnsi="宋体"/>
          <w:sz w:val="20"/>
          <w:szCs w:val="20"/>
        </w:rPr>
        <w:t>1</w:t>
      </w:r>
      <w:r>
        <w:rPr>
          <w:rFonts w:hint="eastAsia" w:ascii="宋体" w:hAnsi="宋体"/>
          <w:sz w:val="20"/>
          <w:szCs w:val="20"/>
        </w:rPr>
        <w:t>”一般为总结性评价, “</w:t>
      </w:r>
      <w:r>
        <w:rPr>
          <w:rFonts w:ascii="宋体" w:hAnsi="宋体"/>
          <w:sz w:val="20"/>
          <w:szCs w:val="20"/>
        </w:rPr>
        <w:t>X</w:t>
      </w:r>
      <w:r>
        <w:rPr>
          <w:rFonts w:hint="eastAsia" w:ascii="宋体" w:hAnsi="宋体"/>
          <w:sz w:val="20"/>
          <w:szCs w:val="20"/>
        </w:rPr>
        <w:t>”为过程性评价，“</w:t>
      </w:r>
      <w:r>
        <w:rPr>
          <w:rFonts w:ascii="宋体" w:hAnsi="宋体"/>
          <w:sz w:val="20"/>
          <w:szCs w:val="20"/>
        </w:rPr>
        <w:t>X</w:t>
      </w:r>
      <w:r>
        <w:rPr>
          <w:rFonts w:hint="eastAsia" w:ascii="宋体" w:hAnsi="宋体"/>
          <w:sz w:val="20"/>
          <w:szCs w:val="20"/>
        </w:rPr>
        <w:t>”的</w:t>
      </w:r>
      <w:r>
        <w:rPr>
          <w:rFonts w:hint="eastAsia"/>
          <w:color w:val="000000"/>
          <w:sz w:val="20"/>
          <w:szCs w:val="20"/>
        </w:rPr>
        <w:t>次数一般不少于3次，无论是</w:t>
      </w:r>
      <w:r>
        <w:rPr>
          <w:rFonts w:hint="eastAsia" w:ascii="宋体" w:hAnsi="宋体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hint="eastAsia" w:ascii="宋体" w:hAnsi="宋体"/>
          <w:sz w:val="20"/>
          <w:szCs w:val="20"/>
        </w:rPr>
        <w:t>”、还是“</w:t>
      </w:r>
      <w:r>
        <w:rPr>
          <w:rFonts w:ascii="宋体" w:hAnsi="宋体"/>
          <w:sz w:val="20"/>
          <w:szCs w:val="20"/>
        </w:rPr>
        <w:t>X</w:t>
      </w:r>
      <w:r>
        <w:rPr>
          <w:rFonts w:hint="eastAsia" w:ascii="宋体" w:hAnsi="宋体"/>
          <w:sz w:val="20"/>
          <w:szCs w:val="20"/>
        </w:rPr>
        <w:t>”，都可以是纸笔测试，也可以是表现性评价。与能力本位相适应的课程评价方式，较少采用纸笔测试，较多采用表现性评价。</w:t>
      </w:r>
    </w:p>
    <w:p>
      <w:pPr>
        <w:snapToGrid w:val="0"/>
        <w:spacing w:before="120" w:after="120" w:line="288" w:lineRule="auto"/>
        <w:ind w:firstLine="400" w:firstLineChars="200"/>
        <w:rPr>
          <w:b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常用</w:t>
      </w:r>
      <w:r>
        <w:rPr>
          <w:color w:val="000000"/>
          <w:sz w:val="20"/>
          <w:szCs w:val="20"/>
        </w:rPr>
        <w:t>的</w:t>
      </w:r>
      <w:r>
        <w:rPr>
          <w:rFonts w:hint="eastAsia"/>
          <w:color w:val="000000"/>
          <w:sz w:val="20"/>
          <w:szCs w:val="20"/>
        </w:rPr>
        <w:t>评价</w:t>
      </w:r>
      <w:r>
        <w:rPr>
          <w:color w:val="000000"/>
          <w:sz w:val="20"/>
          <w:szCs w:val="20"/>
        </w:rPr>
        <w:t>方式</w:t>
      </w:r>
      <w:r>
        <w:rPr>
          <w:rFonts w:hint="eastAsia"/>
          <w:color w:val="000000"/>
          <w:sz w:val="20"/>
          <w:szCs w:val="20"/>
        </w:rPr>
        <w:t>有</w:t>
      </w:r>
      <w:r>
        <w:rPr>
          <w:color w:val="000000"/>
          <w:sz w:val="20"/>
          <w:szCs w:val="20"/>
        </w:rPr>
        <w:t>：</w:t>
      </w:r>
      <w:r>
        <w:rPr>
          <w:rFonts w:hint="eastAsia" w:ascii="宋体" w:hAnsi="宋体"/>
          <w:sz w:val="20"/>
          <w:szCs w:val="20"/>
        </w:rPr>
        <w:t>课堂展示、口头</w:t>
      </w:r>
      <w:r>
        <w:rPr>
          <w:rFonts w:ascii="宋体" w:hAnsi="宋体"/>
          <w:sz w:val="20"/>
          <w:szCs w:val="20"/>
        </w:rPr>
        <w:t>报告、</w:t>
      </w:r>
      <w:r>
        <w:rPr>
          <w:rFonts w:hint="eastAsia" w:ascii="宋体" w:hAnsi="宋体"/>
          <w:sz w:val="20"/>
          <w:szCs w:val="20"/>
        </w:rPr>
        <w:t>论文、日志、反思</w:t>
      </w:r>
      <w:r>
        <w:rPr>
          <w:rFonts w:ascii="宋体" w:hAnsi="宋体"/>
          <w:sz w:val="20"/>
          <w:szCs w:val="20"/>
        </w:rPr>
        <w:t>、</w:t>
      </w:r>
      <w:r>
        <w:rPr>
          <w:rFonts w:hint="eastAsia" w:ascii="宋体" w:hAnsi="宋体"/>
          <w:sz w:val="20"/>
          <w:szCs w:val="20"/>
        </w:rPr>
        <w:t>调查报告、个人项目报告、小组</w:t>
      </w:r>
      <w:r>
        <w:rPr>
          <w:rFonts w:ascii="宋体" w:hAnsi="宋体"/>
          <w:sz w:val="20"/>
          <w:szCs w:val="20"/>
        </w:rPr>
        <w:t>项目报告、</w:t>
      </w:r>
      <w:r>
        <w:rPr>
          <w:rFonts w:hint="eastAsia" w:ascii="宋体" w:hAnsi="宋体"/>
          <w:sz w:val="20"/>
          <w:szCs w:val="20"/>
        </w:rPr>
        <w:t>实验报告、读书报告、作品（选集</w:t>
      </w:r>
      <w:r>
        <w:rPr>
          <w:rFonts w:ascii="宋体" w:hAnsi="宋体"/>
          <w:sz w:val="20"/>
          <w:szCs w:val="20"/>
        </w:rPr>
        <w:t>）</w:t>
      </w:r>
      <w:r>
        <w:rPr>
          <w:rFonts w:hint="eastAsia" w:ascii="宋体" w:hAnsi="宋体"/>
          <w:sz w:val="20"/>
          <w:szCs w:val="20"/>
        </w:rPr>
        <w:t>、口试、课堂小测验、</w:t>
      </w:r>
      <w:r>
        <w:rPr>
          <w:rFonts w:ascii="宋体" w:hAnsi="宋体"/>
          <w:sz w:val="20"/>
          <w:szCs w:val="20"/>
        </w:rPr>
        <w:t>期终闭卷考、期终开卷考、</w:t>
      </w:r>
      <w:r>
        <w:rPr>
          <w:rFonts w:hint="eastAsia" w:ascii="宋体" w:hAnsi="宋体"/>
          <w:sz w:val="20"/>
          <w:szCs w:val="20"/>
        </w:rPr>
        <w:t>工作</w:t>
      </w:r>
      <w:r>
        <w:rPr>
          <w:rFonts w:ascii="宋体" w:hAnsi="宋体"/>
          <w:sz w:val="20"/>
          <w:szCs w:val="20"/>
        </w:rPr>
        <w:t>现场评估、</w:t>
      </w:r>
      <w:r>
        <w:rPr>
          <w:rFonts w:hint="eastAsia" w:ascii="宋体" w:hAnsi="宋体"/>
          <w:sz w:val="20"/>
          <w:szCs w:val="20"/>
        </w:rPr>
        <w:t>自我</w:t>
      </w:r>
      <w:r>
        <w:rPr>
          <w:rFonts w:ascii="宋体" w:hAnsi="宋体"/>
          <w:sz w:val="20"/>
          <w:szCs w:val="20"/>
        </w:rPr>
        <w:t>评估、</w:t>
      </w:r>
      <w:r>
        <w:rPr>
          <w:rFonts w:hint="eastAsia" w:ascii="宋体" w:hAnsi="宋体"/>
          <w:sz w:val="20"/>
          <w:szCs w:val="20"/>
        </w:rPr>
        <w:t>同辈</w:t>
      </w:r>
      <w:r>
        <w:rPr>
          <w:rFonts w:ascii="宋体" w:hAnsi="宋体"/>
          <w:sz w:val="20"/>
          <w:szCs w:val="20"/>
        </w:rPr>
        <w:t>评估</w:t>
      </w:r>
      <w:r>
        <w:rPr>
          <w:rFonts w:hint="eastAsia" w:ascii="宋体" w:hAnsi="宋体"/>
          <w:sz w:val="20"/>
          <w:szCs w:val="20"/>
        </w:rPr>
        <w:t>等等</w:t>
      </w:r>
      <w:r>
        <w:rPr>
          <w:rFonts w:ascii="宋体" w:hAnsi="宋体"/>
          <w:sz w:val="20"/>
          <w:szCs w:val="20"/>
        </w:rPr>
        <w:t>。</w:t>
      </w:r>
      <w:r>
        <w:rPr>
          <w:rFonts w:hint="eastAsia" w:ascii="宋体" w:hAnsi="宋体"/>
          <w:b/>
          <w:sz w:val="20"/>
          <w:szCs w:val="20"/>
        </w:rPr>
        <w:t>一般课外扩展阅读的检查评价应该成为“X”中的一部分。</w:t>
      </w:r>
    </w:p>
    <w:p>
      <w:pPr>
        <w:snapToGrid w:val="0"/>
        <w:spacing w:before="120" w:after="120" w:line="288" w:lineRule="auto"/>
        <w:ind w:firstLine="400" w:firstLineChars="2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同一门课程由多个教师共同授课的，由课程组共同讨论决定X的内容、次数及比例。</w:t>
      </w:r>
    </w:p>
    <w:p>
      <w:pPr>
        <w:snapToGrid w:val="0"/>
        <w:spacing w:before="120" w:after="120" w:line="288" w:lineRule="auto"/>
        <w:ind w:firstLine="400" w:firstLineChars="200"/>
        <w:rPr>
          <w:rFonts w:ascii="宋体" w:hAnsi="宋体"/>
          <w:sz w:val="20"/>
          <w:szCs w:val="20"/>
        </w:rPr>
      </w:pPr>
    </w:p>
    <w:p>
      <w:pPr>
        <w:snapToGrid w:val="0"/>
        <w:spacing w:before="120" w:after="120" w:line="288" w:lineRule="auto"/>
        <w:ind w:firstLine="400" w:firstLineChars="200"/>
        <w:rPr>
          <w:rFonts w:ascii="宋体" w:hAnsi="宋体"/>
          <w:sz w:val="20"/>
          <w:szCs w:val="20"/>
          <w:highlight w:val="yellow"/>
        </w:rPr>
      </w:pPr>
    </w:p>
    <w:p>
      <w:pPr>
        <w:snapToGrid w:val="0"/>
        <w:spacing w:line="288" w:lineRule="auto"/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     石咏琦                   系主任审核签名：</w:t>
      </w:r>
    </w:p>
    <w:p>
      <w:pPr>
        <w:snapToGrid w:val="0"/>
        <w:spacing w:line="288" w:lineRule="auto"/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审核时间：                       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PMingLiU">
    <w:panose1 w:val="02020300000000000000"/>
    <w:charset w:val="88"/>
    <w:family w:val="roman"/>
    <w:pitch w:val="default"/>
    <w:sig w:usb0="00000003" w:usb1="082E0000" w:usb2="00000016" w:usb3="00000000" w:csb0="00100001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5D6"/>
    <w:multiLevelType w:val="multilevel"/>
    <w:tmpl w:val="028D05D6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EFA2F1F"/>
    <w:multiLevelType w:val="multilevel"/>
    <w:tmpl w:val="0EFA2F1F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70221AD"/>
    <w:multiLevelType w:val="multilevel"/>
    <w:tmpl w:val="270221AD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B2D0A57"/>
    <w:multiLevelType w:val="multilevel"/>
    <w:tmpl w:val="2B2D0A57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FBD15F0"/>
    <w:multiLevelType w:val="multilevel"/>
    <w:tmpl w:val="5FBD15F0"/>
    <w:lvl w:ilvl="0" w:tentative="0">
      <w:start w:val="1"/>
      <w:numFmt w:val="decimal"/>
      <w:lvlText w:val="%1、"/>
      <w:lvlJc w:val="left"/>
      <w:pPr>
        <w:ind w:left="282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762" w:hanging="420"/>
      </w:pPr>
    </w:lvl>
    <w:lvl w:ilvl="2" w:tentative="0">
      <w:start w:val="1"/>
      <w:numFmt w:val="lowerRoman"/>
      <w:lvlText w:val="%3."/>
      <w:lvlJc w:val="right"/>
      <w:pPr>
        <w:ind w:left="1182" w:hanging="420"/>
      </w:pPr>
    </w:lvl>
    <w:lvl w:ilvl="3" w:tentative="0">
      <w:start w:val="1"/>
      <w:numFmt w:val="decimal"/>
      <w:lvlText w:val="%4."/>
      <w:lvlJc w:val="left"/>
      <w:pPr>
        <w:ind w:left="1602" w:hanging="420"/>
      </w:pPr>
    </w:lvl>
    <w:lvl w:ilvl="4" w:tentative="0">
      <w:start w:val="1"/>
      <w:numFmt w:val="lowerLetter"/>
      <w:lvlText w:val="%5)"/>
      <w:lvlJc w:val="left"/>
      <w:pPr>
        <w:ind w:left="2022" w:hanging="420"/>
      </w:pPr>
    </w:lvl>
    <w:lvl w:ilvl="5" w:tentative="0">
      <w:start w:val="1"/>
      <w:numFmt w:val="lowerRoman"/>
      <w:lvlText w:val="%6."/>
      <w:lvlJc w:val="right"/>
      <w:pPr>
        <w:ind w:left="2442" w:hanging="420"/>
      </w:pPr>
    </w:lvl>
    <w:lvl w:ilvl="6" w:tentative="0">
      <w:start w:val="1"/>
      <w:numFmt w:val="decimal"/>
      <w:lvlText w:val="%7."/>
      <w:lvlJc w:val="left"/>
      <w:pPr>
        <w:ind w:left="2862" w:hanging="420"/>
      </w:pPr>
    </w:lvl>
    <w:lvl w:ilvl="7" w:tentative="0">
      <w:start w:val="1"/>
      <w:numFmt w:val="lowerLetter"/>
      <w:lvlText w:val="%8)"/>
      <w:lvlJc w:val="left"/>
      <w:pPr>
        <w:ind w:left="3282" w:hanging="420"/>
      </w:pPr>
    </w:lvl>
    <w:lvl w:ilvl="8" w:tentative="0">
      <w:start w:val="1"/>
      <w:numFmt w:val="lowerRoman"/>
      <w:lvlText w:val="%9."/>
      <w:lvlJc w:val="right"/>
      <w:pPr>
        <w:ind w:left="3702" w:hanging="420"/>
      </w:pPr>
    </w:lvl>
  </w:abstractNum>
  <w:abstractNum w:abstractNumId="5">
    <w:nsid w:val="7B3B5B29"/>
    <w:multiLevelType w:val="multilevel"/>
    <w:tmpl w:val="7B3B5B29"/>
    <w:lvl w:ilvl="0" w:tentative="0">
      <w:start w:val="1"/>
      <w:numFmt w:val="decimal"/>
      <w:lvlText w:val="%1-"/>
      <w:lvlJc w:val="left"/>
      <w:pPr>
        <w:ind w:left="510" w:hanging="510"/>
      </w:pPr>
      <w:rPr>
        <w:rFonts w:hint="default"/>
      </w:rPr>
    </w:lvl>
    <w:lvl w:ilvl="1" w:tentative="0">
      <w:start w:val="1"/>
      <w:numFmt w:val="decimal"/>
      <w:lvlText w:val="%1-%2、"/>
      <w:lvlJc w:val="left"/>
      <w:pPr>
        <w:ind w:left="720" w:hanging="720"/>
      </w:pPr>
      <w:rPr>
        <w:rFonts w:hint="default"/>
      </w:rPr>
    </w:lvl>
    <w:lvl w:ilvl="2" w:tentative="0">
      <w:start w:val="1"/>
      <w:numFmt w:val="decimal"/>
      <w:lvlText w:val="%1-%2、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-%2、%3.%4."/>
      <w:lvlJc w:val="left"/>
      <w:pPr>
        <w:ind w:left="1080" w:hanging="1080"/>
      </w:pPr>
      <w:rPr>
        <w:rFonts w:hint="default"/>
      </w:rPr>
    </w:lvl>
    <w:lvl w:ilvl="4" w:tentative="0">
      <w:start w:val="1"/>
      <w:numFmt w:val="decimal"/>
      <w:lvlText w:val="%1-%2、%3.%4.%5."/>
      <w:lvlJc w:val="left"/>
      <w:pPr>
        <w:ind w:left="1440" w:hanging="1440"/>
      </w:pPr>
      <w:rPr>
        <w:rFonts w:hint="default"/>
      </w:rPr>
    </w:lvl>
    <w:lvl w:ilvl="5" w:tentative="0">
      <w:start w:val="1"/>
      <w:numFmt w:val="decimal"/>
      <w:lvlText w:val="%1-%2、%3.%4.%5.%6."/>
      <w:lvlJc w:val="left"/>
      <w:pPr>
        <w:ind w:left="1440" w:hanging="1440"/>
      </w:pPr>
      <w:rPr>
        <w:rFonts w:hint="default"/>
      </w:rPr>
    </w:lvl>
    <w:lvl w:ilvl="6" w:tentative="0">
      <w:start w:val="1"/>
      <w:numFmt w:val="decimal"/>
      <w:lvlText w:val="%1-%2、%3.%4.%5.%6.%7."/>
      <w:lvlJc w:val="left"/>
      <w:pPr>
        <w:ind w:left="1800" w:hanging="1800"/>
      </w:pPr>
      <w:rPr>
        <w:rFonts w:hint="default"/>
      </w:rPr>
    </w:lvl>
    <w:lvl w:ilvl="7" w:tentative="0">
      <w:start w:val="1"/>
      <w:numFmt w:val="decimal"/>
      <w:lvlText w:val="%1-%2、%3.%4.%5.%6.%7.%8."/>
      <w:lvlJc w:val="left"/>
      <w:pPr>
        <w:ind w:left="1800" w:hanging="1800"/>
      </w:pPr>
      <w:rPr>
        <w:rFonts w:hint="default"/>
      </w:rPr>
    </w:lvl>
    <w:lvl w:ilvl="8" w:tentative="0">
      <w:start w:val="1"/>
      <w:numFmt w:val="decimal"/>
      <w:lvlText w:val="%1-%2、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1F"/>
    <w:rsid w:val="000F40EB"/>
    <w:rsid w:val="000F4BA0"/>
    <w:rsid w:val="001072BC"/>
    <w:rsid w:val="00115820"/>
    <w:rsid w:val="00133734"/>
    <w:rsid w:val="001412CE"/>
    <w:rsid w:val="0018094B"/>
    <w:rsid w:val="00256B39"/>
    <w:rsid w:val="0026033C"/>
    <w:rsid w:val="00283652"/>
    <w:rsid w:val="002E3721"/>
    <w:rsid w:val="00313BBA"/>
    <w:rsid w:val="0032602E"/>
    <w:rsid w:val="003367AE"/>
    <w:rsid w:val="003374E8"/>
    <w:rsid w:val="00355D23"/>
    <w:rsid w:val="00374B59"/>
    <w:rsid w:val="003B1258"/>
    <w:rsid w:val="004100B0"/>
    <w:rsid w:val="004464EE"/>
    <w:rsid w:val="00491AB9"/>
    <w:rsid w:val="004E0E2F"/>
    <w:rsid w:val="005467DC"/>
    <w:rsid w:val="00553D03"/>
    <w:rsid w:val="00561AF3"/>
    <w:rsid w:val="005A1F0E"/>
    <w:rsid w:val="005B2B6D"/>
    <w:rsid w:val="005B4B4E"/>
    <w:rsid w:val="005F025F"/>
    <w:rsid w:val="00624FE1"/>
    <w:rsid w:val="00652E74"/>
    <w:rsid w:val="007064D0"/>
    <w:rsid w:val="007208D6"/>
    <w:rsid w:val="0073025B"/>
    <w:rsid w:val="007424C1"/>
    <w:rsid w:val="00762860"/>
    <w:rsid w:val="00837E17"/>
    <w:rsid w:val="008B397C"/>
    <w:rsid w:val="008B47F4"/>
    <w:rsid w:val="008E77D4"/>
    <w:rsid w:val="00900019"/>
    <w:rsid w:val="00935A63"/>
    <w:rsid w:val="00972BEE"/>
    <w:rsid w:val="0099063E"/>
    <w:rsid w:val="009B3CA1"/>
    <w:rsid w:val="009E5B95"/>
    <w:rsid w:val="00A3187F"/>
    <w:rsid w:val="00A769B1"/>
    <w:rsid w:val="00AA076E"/>
    <w:rsid w:val="00AC4C45"/>
    <w:rsid w:val="00B407EB"/>
    <w:rsid w:val="00B46F21"/>
    <w:rsid w:val="00B511A5"/>
    <w:rsid w:val="00B736A7"/>
    <w:rsid w:val="00B7651F"/>
    <w:rsid w:val="00C56E09"/>
    <w:rsid w:val="00C71FD3"/>
    <w:rsid w:val="00CC7AF0"/>
    <w:rsid w:val="00CF096B"/>
    <w:rsid w:val="00D17E03"/>
    <w:rsid w:val="00D425D9"/>
    <w:rsid w:val="00D82705"/>
    <w:rsid w:val="00DC5F18"/>
    <w:rsid w:val="00E16D30"/>
    <w:rsid w:val="00E33169"/>
    <w:rsid w:val="00E5521E"/>
    <w:rsid w:val="00E70904"/>
    <w:rsid w:val="00E754AD"/>
    <w:rsid w:val="00EF44B1"/>
    <w:rsid w:val="00F26355"/>
    <w:rsid w:val="00F31AEE"/>
    <w:rsid w:val="00F35AA0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BA61EA4"/>
    <w:rsid w:val="6F1E65D4"/>
    <w:rsid w:val="6F266C86"/>
    <w:rsid w:val="6F5042C2"/>
    <w:rsid w:val="74316312"/>
    <w:rsid w:val="780F13C8"/>
    <w:rsid w:val="7C38544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0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AEB412-0A45-4BB6-9D80-799CFB7A34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664</Words>
  <Characters>3785</Characters>
  <Lines>31</Lines>
  <Paragraphs>8</Paragraphs>
  <TotalTime>0</TotalTime>
  <ScaleCrop>false</ScaleCrop>
  <LinksUpToDate>false</LinksUpToDate>
  <CharactersWithSpaces>4441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2017-10-08T08:49:00Z</dcterms:created>
  <dc:creator>juvg</dc:creator>
  <cp:lastModifiedBy>Administrator</cp:lastModifiedBy>
  <dcterms:modified xsi:type="dcterms:W3CDTF">2017-10-10T10:58:04Z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