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2030158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基础写作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李欣田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04035@gench.edu.cn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秘书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学B1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-1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传播学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B19-1、3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广告学B19-1、2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二教402、二教102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在线网络授课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0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在线答疑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  <w:t>《基础写作教程》（第三版），裴显生 尉天骄，高等教育出版社，2017年版。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《大学写作》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（第二版）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吴俊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主编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华东师范大学出版社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10年版；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《写作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教程》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（第五版）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傅德岷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著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重庆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大学出版社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《基础写作》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姚国建主编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高等教育出版社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2012年版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。</w:t>
            </w:r>
          </w:p>
        </w:tc>
      </w:tr>
    </w:tbl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456"/>
        <w:gridCol w:w="1515"/>
        <w:gridCol w:w="2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绪论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我在战“疫”中成长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写作活动中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四因素：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主体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客体 受体 载体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分享读后感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写作过程（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上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观察 阅读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体验 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想象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整合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行人/自命题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写作过程（下）：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立意 选材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构思 表述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修改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故事创意写作（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逆行者最美/自命题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故事创意写作（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面对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/在路上/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自命题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诗歌写作（自由诗与歌词）（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诗歌写作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诗歌写作（自由诗与歌词）（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散文写作（1）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散文写作（2）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散文写作（3）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散文写作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微小说写作（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微小说写作（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微小说写作（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微小说写作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评论文写作（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评论文写作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评论文写作（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430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07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全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430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X1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  <w:t>平台学习和课堂表现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0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X2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zh-CN"/>
              </w:rPr>
              <w:t>散文或诗歌写作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0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X3</w:t>
            </w:r>
          </w:p>
        </w:tc>
        <w:tc>
          <w:tcPr>
            <w:tcW w:w="4305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zh-CN"/>
              </w:rPr>
              <w:t>微小说或评论文写作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240" w:leftChars="100" w:firstLine="420" w:firstLineChars="20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教学内容不宜简单地填写第几章、第几节，应就教学内容本身做简单明了的概括；教学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方式为讲课、实验、讨论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课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、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习题课、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参观、边讲边练、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汇报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、考核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评价方式为期末考试“1”及过程考核“X”，其中“1”为教学大纲中规定的形式；“X”可由任课教师或课程组自行确定（同一门课程多位教师任课的须由课程组统一X的方式及比例）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李欣田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徐磊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10241" o:spid="_x0000_s10241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10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5C06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6895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A66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2B5"/>
    <w:rsid w:val="00463BDD"/>
    <w:rsid w:val="00471CC2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0FFD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63B"/>
    <w:rsid w:val="005B11FA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0578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D35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291"/>
    <w:rsid w:val="008D2640"/>
    <w:rsid w:val="008E2CC9"/>
    <w:rsid w:val="008E36BA"/>
    <w:rsid w:val="008E3922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4EF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54F02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16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9DE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2FBA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49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0AC"/>
    <w:rsid w:val="00D87174"/>
    <w:rsid w:val="00D87240"/>
    <w:rsid w:val="00D87438"/>
    <w:rsid w:val="00D92235"/>
    <w:rsid w:val="00DA48B7"/>
    <w:rsid w:val="00DA6480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40AA"/>
    <w:rsid w:val="00E46564"/>
    <w:rsid w:val="00E50B0E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5A34"/>
    <w:rsid w:val="00E87FCD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5B33"/>
    <w:rsid w:val="00FE6709"/>
    <w:rsid w:val="00FF2D60"/>
    <w:rsid w:val="0250298D"/>
    <w:rsid w:val="05816E8A"/>
    <w:rsid w:val="084D09CE"/>
    <w:rsid w:val="0B02141F"/>
    <w:rsid w:val="0CD37BC1"/>
    <w:rsid w:val="0DB76A4A"/>
    <w:rsid w:val="0E4A5259"/>
    <w:rsid w:val="0EBC0FE3"/>
    <w:rsid w:val="0F1562FE"/>
    <w:rsid w:val="0F176A5B"/>
    <w:rsid w:val="0F367229"/>
    <w:rsid w:val="162D0E4F"/>
    <w:rsid w:val="182B5FDD"/>
    <w:rsid w:val="18320793"/>
    <w:rsid w:val="18D46D5C"/>
    <w:rsid w:val="199D2E85"/>
    <w:rsid w:val="1AC663C3"/>
    <w:rsid w:val="1B9B294B"/>
    <w:rsid w:val="1C6C7C92"/>
    <w:rsid w:val="1D3076A4"/>
    <w:rsid w:val="1E550758"/>
    <w:rsid w:val="222D46D1"/>
    <w:rsid w:val="248157FF"/>
    <w:rsid w:val="25B14009"/>
    <w:rsid w:val="2875777A"/>
    <w:rsid w:val="2CB03964"/>
    <w:rsid w:val="2DB745E0"/>
    <w:rsid w:val="2E59298A"/>
    <w:rsid w:val="30073329"/>
    <w:rsid w:val="31C71718"/>
    <w:rsid w:val="330A1A22"/>
    <w:rsid w:val="342D199F"/>
    <w:rsid w:val="347509D8"/>
    <w:rsid w:val="37247C61"/>
    <w:rsid w:val="37E50B00"/>
    <w:rsid w:val="3ED04C4D"/>
    <w:rsid w:val="414C4176"/>
    <w:rsid w:val="43D075FE"/>
    <w:rsid w:val="44B75832"/>
    <w:rsid w:val="47C54039"/>
    <w:rsid w:val="49DF08B3"/>
    <w:rsid w:val="4A743197"/>
    <w:rsid w:val="4BF0504A"/>
    <w:rsid w:val="4F182058"/>
    <w:rsid w:val="4FBA1575"/>
    <w:rsid w:val="511D26CD"/>
    <w:rsid w:val="51F95759"/>
    <w:rsid w:val="51FD1162"/>
    <w:rsid w:val="54656684"/>
    <w:rsid w:val="557449ED"/>
    <w:rsid w:val="59453C8B"/>
    <w:rsid w:val="5A384D3A"/>
    <w:rsid w:val="5AF200AD"/>
    <w:rsid w:val="5AF56B3B"/>
    <w:rsid w:val="5C23286D"/>
    <w:rsid w:val="5EEF33FC"/>
    <w:rsid w:val="60CB07AB"/>
    <w:rsid w:val="61D12443"/>
    <w:rsid w:val="64AC21FA"/>
    <w:rsid w:val="65310993"/>
    <w:rsid w:val="65BE639C"/>
    <w:rsid w:val="67E80E3D"/>
    <w:rsid w:val="686752B8"/>
    <w:rsid w:val="6947624F"/>
    <w:rsid w:val="694818FE"/>
    <w:rsid w:val="6C7759B6"/>
    <w:rsid w:val="6E256335"/>
    <w:rsid w:val="6E596567"/>
    <w:rsid w:val="700912C5"/>
    <w:rsid w:val="712C115D"/>
    <w:rsid w:val="72506602"/>
    <w:rsid w:val="72A43241"/>
    <w:rsid w:val="747D1489"/>
    <w:rsid w:val="74A21317"/>
    <w:rsid w:val="74F62C86"/>
    <w:rsid w:val="76AA48EA"/>
    <w:rsid w:val="79BD4E13"/>
    <w:rsid w:val="7D711B30"/>
    <w:rsid w:val="7E5570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833C6-9630-4129-B6DE-794110765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870</Words>
  <Characters>253</Characters>
  <Lines>2</Lines>
  <Paragraphs>2</Paragraphs>
  <TotalTime>0</TotalTime>
  <ScaleCrop>false</ScaleCrop>
  <LinksUpToDate>false</LinksUpToDate>
  <CharactersWithSpaces>1121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2020-03-07T11:37:35Z</dcterms:modified>
  <dc:title>上海建桥学院教学进度计划表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