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80" w:lineRule="exact"/>
        <w:jc w:val="left"/>
        <w:rPr>
          <w:rFonts w:ascii="方正小标宋简体" w:hAnsi="宋体"/>
          <w:bCs/>
          <w:kern w:val="0"/>
          <w:szCs w:val="21"/>
        </w:rPr>
      </w:pPr>
      <w:r>
        <w:pict>
          <v:shape id="文本框 1" o:spid="_x0000_s1026"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spacing w:val="20"/>
                      <w:sz w:val="24"/>
                      <w:szCs w:val="24"/>
                      <w:lang w:val="en-US" w:eastAsia="zh-CN"/>
                    </w:rPr>
                    <w:t>33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w:r>
      <w:r>
        <w:rPr>
          <w:rFonts w:hint="eastAsia" w:asciiTheme="minorEastAsia" w:hAnsiTheme="minorEastAsia" w:eastAsiaTheme="minorEastAsia"/>
          <w:bCs/>
          <w:kern w:val="0"/>
          <w:sz w:val="40"/>
          <w:szCs w:val="40"/>
        </w:rPr>
        <w:t xml:space="preserve">      </w:t>
      </w:r>
    </w:p>
    <w:p>
      <w:pPr>
        <w:spacing w:line="288" w:lineRule="auto"/>
        <w:jc w:val="center"/>
        <w:rPr>
          <w:b/>
          <w:sz w:val="28"/>
          <w:szCs w:val="30"/>
        </w:rPr>
      </w:pPr>
      <w:r>
        <w:rPr>
          <w:rFonts w:hint="eastAsia"/>
          <w:b/>
          <w:sz w:val="28"/>
          <w:szCs w:val="30"/>
        </w:rPr>
        <w:t>【</w:t>
      </w:r>
      <w:r>
        <w:rPr>
          <w:rFonts w:hint="eastAsia"/>
          <w:b/>
          <w:sz w:val="28"/>
          <w:szCs w:val="30"/>
          <w:lang w:val="en-US" w:eastAsia="zh-CN"/>
        </w:rPr>
        <w:t>传播学概论</w:t>
      </w:r>
      <w:r>
        <w:rPr>
          <w:rFonts w:hint="eastAsia"/>
          <w:b/>
          <w:sz w:val="28"/>
          <w:szCs w:val="30"/>
        </w:rPr>
        <w:t>】</w:t>
      </w:r>
    </w:p>
    <w:p>
      <w:pPr>
        <w:shd w:val="clear" w:color="auto" w:fill="F5F5F5"/>
        <w:jc w:val="center"/>
        <w:textAlignment w:val="top"/>
        <w:rPr>
          <w:rFonts w:ascii="Arial" w:hAnsi="Arial" w:cs="Arial"/>
          <w:color w:val="888888"/>
          <w:kern w:val="0"/>
          <w:sz w:val="20"/>
          <w:szCs w:val="20"/>
        </w:rPr>
      </w:pPr>
      <w:r>
        <w:rPr>
          <w:rFonts w:hint="eastAsia"/>
          <w:b/>
          <w:sz w:val="28"/>
          <w:szCs w:val="30"/>
        </w:rPr>
        <w:t>【Introduction to Communication】</w:t>
      </w:r>
      <w:bookmarkStart w:id="0" w:name="a2"/>
      <w:bookmarkEnd w:id="0"/>
    </w:p>
    <w:p>
      <w:pPr>
        <w:spacing w:beforeLines="50"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基本信息（必填项）</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sz w:val="20"/>
          <w:szCs w:val="20"/>
        </w:rPr>
        <w:t>2030003</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lang w:val="en-US" w:eastAsia="zh-CN"/>
        </w:rPr>
        <w:t>4</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lang w:eastAsia="zh-CN"/>
        </w:rPr>
        <w:t>传播学</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asciiTheme="majorBidi" w:hAnsiTheme="majorBidi" w:cstheme="majorBidi"/>
          <w:color w:val="000000"/>
          <w:sz w:val="20"/>
          <w:szCs w:val="20"/>
        </w:rPr>
        <w:t>系级必修课</w:t>
      </w:r>
      <w:r>
        <w:rPr>
          <w:rFonts w:hint="eastAsia" w:ascii="宋体" w:hAnsi="宋体" w:cs="宋体"/>
          <w:color w:val="000000"/>
          <w:sz w:val="20"/>
          <w:szCs w:val="20"/>
        </w:rPr>
        <w:t>◎</w:t>
      </w:r>
      <w:r>
        <w:rPr>
          <w:color w:val="000000"/>
          <w:sz w:val="20"/>
          <w:szCs w:val="20"/>
        </w:rPr>
        <w:t>】</w:t>
      </w:r>
    </w:p>
    <w:p>
      <w:pPr>
        <w:snapToGrid w:val="0"/>
        <w:spacing w:line="288" w:lineRule="auto"/>
        <w:ind w:firstLine="394" w:firstLineChars="196"/>
        <w:rPr>
          <w:b/>
          <w:bCs/>
          <w:color w:val="000000"/>
          <w:szCs w:val="21"/>
        </w:rPr>
      </w:pPr>
      <w:r>
        <w:rPr>
          <w:b/>
          <w:bCs/>
          <w:color w:val="000000"/>
          <w:sz w:val="20"/>
          <w:szCs w:val="20"/>
        </w:rPr>
        <w:t>开课院系：</w:t>
      </w:r>
      <w:r>
        <w:rPr>
          <w:rFonts w:hint="eastAsia"/>
          <w:b/>
          <w:bCs/>
          <w:color w:val="000000"/>
          <w:sz w:val="20"/>
          <w:szCs w:val="20"/>
          <w:lang w:eastAsia="zh-CN"/>
        </w:rPr>
        <w:t>新闻传播学院传播系</w:t>
      </w:r>
    </w:p>
    <w:p>
      <w:pPr>
        <w:snapToGrid w:val="0"/>
        <w:spacing w:line="288" w:lineRule="auto"/>
        <w:ind w:firstLine="394" w:firstLineChars="196"/>
        <w:rPr>
          <w:color w:val="000000"/>
          <w:sz w:val="20"/>
          <w:szCs w:val="20"/>
        </w:rPr>
      </w:pPr>
      <w:r>
        <w:rPr>
          <w:b/>
          <w:bCs/>
          <w:color w:val="000000"/>
          <w:sz w:val="20"/>
          <w:szCs w:val="20"/>
        </w:rPr>
        <w:t>使用教材：</w:t>
      </w:r>
    </w:p>
    <w:p>
      <w:pPr>
        <w:snapToGrid w:val="0"/>
        <w:spacing w:line="288" w:lineRule="auto"/>
        <w:ind w:firstLine="792" w:firstLineChars="396"/>
        <w:rPr>
          <w:color w:val="000000"/>
          <w:szCs w:val="21"/>
        </w:rPr>
      </w:pPr>
      <w:r>
        <w:rPr>
          <w:color w:val="000000"/>
          <w:sz w:val="20"/>
          <w:szCs w:val="20"/>
        </w:rPr>
        <w:t>教材【</w:t>
      </w:r>
      <w:r>
        <w:rPr>
          <w:rFonts w:hint="eastAsia"/>
          <w:color w:val="000000"/>
          <w:sz w:val="20"/>
          <w:szCs w:val="20"/>
          <w:lang w:eastAsia="zh-CN"/>
        </w:rPr>
        <w:t>《</w:t>
      </w:r>
      <w:r>
        <w:rPr>
          <w:rFonts w:hint="eastAsia"/>
          <w:color w:val="000000"/>
          <w:sz w:val="20"/>
          <w:szCs w:val="20"/>
          <w:lang w:val="en-US" w:eastAsia="zh-CN"/>
        </w:rPr>
        <w:t>传播学原理</w:t>
      </w:r>
      <w:r>
        <w:rPr>
          <w:rFonts w:hint="eastAsia"/>
          <w:color w:val="000000"/>
          <w:sz w:val="20"/>
          <w:szCs w:val="20"/>
          <w:lang w:eastAsia="zh-CN"/>
        </w:rPr>
        <w:t>》，</w:t>
      </w:r>
      <w:r>
        <w:rPr>
          <w:rFonts w:hint="eastAsia"/>
          <w:color w:val="000000"/>
          <w:sz w:val="20"/>
          <w:szCs w:val="20"/>
          <w:lang w:val="en-US" w:eastAsia="zh-CN"/>
        </w:rPr>
        <w:t>张国良著，复旦大学出版社，2009年第2版</w:t>
      </w:r>
      <w:r>
        <w:rPr>
          <w:color w:val="000000"/>
          <w:sz w:val="20"/>
          <w:szCs w:val="20"/>
        </w:rPr>
        <w:t>】</w:t>
      </w:r>
    </w:p>
    <w:p>
      <w:pPr>
        <w:snapToGrid w:val="0"/>
        <w:spacing w:line="288" w:lineRule="auto"/>
        <w:ind w:left="718" w:leftChars="342" w:firstLine="100" w:firstLineChars="50"/>
        <w:rPr>
          <w:rFonts w:hint="eastAsia"/>
          <w:color w:val="000000"/>
          <w:sz w:val="20"/>
          <w:szCs w:val="20"/>
          <w:highlight w:val="none"/>
          <w:lang w:val="en-US" w:eastAsia="zh-CN"/>
        </w:rPr>
      </w:pPr>
      <w:r>
        <w:rPr>
          <w:color w:val="000000"/>
          <w:sz w:val="20"/>
          <w:szCs w:val="20"/>
          <w:highlight w:val="none"/>
        </w:rPr>
        <w:t>参考</w:t>
      </w:r>
      <w:r>
        <w:rPr>
          <w:rFonts w:hint="eastAsia"/>
          <w:color w:val="000000"/>
          <w:sz w:val="20"/>
          <w:szCs w:val="20"/>
          <w:highlight w:val="none"/>
        </w:rPr>
        <w:t>书目</w:t>
      </w:r>
      <w:r>
        <w:rPr>
          <w:color w:val="000000"/>
          <w:sz w:val="20"/>
          <w:szCs w:val="20"/>
          <w:highlight w:val="none"/>
        </w:rPr>
        <w:t>【</w:t>
      </w:r>
      <w:r>
        <w:rPr>
          <w:rFonts w:hint="eastAsia"/>
          <w:color w:val="000000"/>
          <w:sz w:val="20"/>
          <w:szCs w:val="20"/>
          <w:highlight w:val="none"/>
          <w:lang w:eastAsia="zh-CN"/>
        </w:rPr>
        <w:t>《</w:t>
      </w:r>
      <w:r>
        <w:rPr>
          <w:rFonts w:hint="eastAsia"/>
          <w:color w:val="000000"/>
          <w:sz w:val="20"/>
          <w:szCs w:val="20"/>
          <w:highlight w:val="none"/>
          <w:lang w:val="en-US" w:eastAsia="zh-CN"/>
        </w:rPr>
        <w:t>传播学通论</w:t>
      </w:r>
      <w:r>
        <w:rPr>
          <w:rFonts w:hint="eastAsia"/>
          <w:color w:val="000000"/>
          <w:sz w:val="20"/>
          <w:szCs w:val="20"/>
          <w:highlight w:val="none"/>
          <w:lang w:eastAsia="zh-CN"/>
        </w:rPr>
        <w:t>》、</w:t>
      </w:r>
      <w:r>
        <w:rPr>
          <w:rFonts w:hint="eastAsia"/>
          <w:color w:val="000000"/>
          <w:sz w:val="20"/>
          <w:szCs w:val="20"/>
          <w:highlight w:val="none"/>
          <w:lang w:val="en-US" w:eastAsia="zh-CN"/>
        </w:rPr>
        <w:t>戴元光著作，交通大学出版社，2006年第2版；</w:t>
      </w:r>
    </w:p>
    <w:p>
      <w:pPr>
        <w:snapToGrid w:val="0"/>
        <w:spacing w:line="288" w:lineRule="auto"/>
        <w:ind w:left="718" w:leftChars="342" w:firstLine="100" w:firstLineChars="50"/>
        <w:rPr>
          <w:rFonts w:hint="eastAsia"/>
          <w:color w:val="000000"/>
          <w:sz w:val="20"/>
          <w:szCs w:val="20"/>
          <w:highlight w:val="none"/>
          <w:lang w:val="en-US" w:eastAsia="zh-CN"/>
        </w:rPr>
      </w:pPr>
      <w:r>
        <w:rPr>
          <w:rFonts w:hint="eastAsia"/>
          <w:color w:val="000000"/>
          <w:sz w:val="20"/>
          <w:szCs w:val="20"/>
          <w:highlight w:val="none"/>
          <w:lang w:val="en-US" w:eastAsia="zh-CN"/>
        </w:rPr>
        <w:t xml:space="preserve"> 《大众传播理论：范式与流派》刘海龙著，中国人民大学出版社，2008年</w:t>
      </w:r>
    </w:p>
    <w:p>
      <w:pPr>
        <w:snapToGrid w:val="0"/>
        <w:spacing w:line="288" w:lineRule="auto"/>
        <w:ind w:left="718" w:leftChars="342" w:firstLine="100" w:firstLineChars="50"/>
        <w:rPr>
          <w:color w:val="000000"/>
          <w:szCs w:val="21"/>
          <w:highlight w:val="none"/>
        </w:rPr>
      </w:pPr>
      <w:r>
        <w:rPr>
          <w:rFonts w:hint="eastAsia"/>
          <w:color w:val="000000"/>
          <w:sz w:val="20"/>
          <w:szCs w:val="20"/>
          <w:highlight w:val="none"/>
          <w:lang w:val="en-US" w:eastAsia="zh-CN"/>
        </w:rPr>
        <w:t>《娱乐至死》尼尔·波斯曼著，章艳译，中信出版社，2015年5月</w:t>
      </w:r>
      <w:r>
        <w:rPr>
          <w:color w:val="000000"/>
          <w:sz w:val="20"/>
          <w:szCs w:val="20"/>
          <w:highlight w:val="none"/>
        </w:rPr>
        <w:t>】</w:t>
      </w:r>
    </w:p>
    <w:p>
      <w:pPr>
        <w:snapToGrid w:val="0"/>
        <w:spacing w:line="288" w:lineRule="auto"/>
        <w:ind w:firstLine="394" w:firstLineChars="196"/>
        <w:rPr>
          <w:rFonts w:hint="eastAsia"/>
          <w:b/>
          <w:bCs/>
          <w:color w:val="000000"/>
          <w:sz w:val="20"/>
          <w:szCs w:val="20"/>
          <w:highlight w:val="none"/>
        </w:rPr>
      </w:pPr>
      <w:r>
        <w:rPr>
          <w:rFonts w:hint="eastAsia"/>
          <w:b/>
          <w:bCs/>
          <w:color w:val="000000"/>
          <w:sz w:val="20"/>
          <w:szCs w:val="20"/>
          <w:highlight w:val="none"/>
        </w:rPr>
        <w:t>课程网站网址：</w:t>
      </w:r>
    </w:p>
    <w:p>
      <w:pPr>
        <w:snapToGrid w:val="0"/>
        <w:spacing w:line="288" w:lineRule="auto"/>
        <w:ind w:firstLine="394" w:firstLineChars="196"/>
        <w:rPr>
          <w:color w:val="000000"/>
          <w:sz w:val="20"/>
          <w:szCs w:val="20"/>
          <w:highlight w:val="none"/>
        </w:rPr>
      </w:pPr>
      <w:r>
        <w:rPr>
          <w:rFonts w:hint="eastAsia"/>
          <w:b/>
          <w:bCs/>
          <w:color w:val="000000"/>
          <w:sz w:val="20"/>
          <w:szCs w:val="20"/>
          <w:highlight w:val="none"/>
        </w:rPr>
        <w:t>https://elearning.gench.edu.cn:8443/webapps/discussionboard/do/conference?toggle_mode=edit&amp;action=list_forums&amp;course_id=_20654_1&amp;nav=discussion_board_entry&amp;mode=cpview</w:t>
      </w:r>
    </w:p>
    <w:p>
      <w:pPr>
        <w:adjustRightInd w:val="0"/>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lang w:eastAsia="zh-CN"/>
        </w:rPr>
        <w:t>无</w:t>
      </w:r>
      <w:r>
        <w:rPr>
          <w:color w:val="000000"/>
          <w:sz w:val="20"/>
          <w:szCs w:val="20"/>
        </w:rPr>
        <w:t>】</w:t>
      </w:r>
    </w:p>
    <w:p>
      <w:pPr>
        <w:adjustRightInd w:val="0"/>
        <w:snapToGrid w:val="0"/>
        <w:spacing w:beforeLines="50"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课程简介（必填项）</w:t>
      </w:r>
    </w:p>
    <w:p>
      <w:pPr>
        <w:snapToGrid w:val="0"/>
        <w:spacing w:line="360" w:lineRule="auto"/>
        <w:ind w:firstLine="400" w:firstLineChars="200"/>
        <w:rPr>
          <w:rFonts w:asciiTheme="majorBidi" w:hAnsiTheme="majorBidi" w:cstheme="majorBidi"/>
          <w:color w:val="000000"/>
          <w:sz w:val="20"/>
          <w:szCs w:val="20"/>
        </w:rPr>
      </w:pPr>
      <w:r>
        <w:rPr>
          <w:rFonts w:hint="eastAsia" w:asciiTheme="majorBidi" w:hAnsiTheme="majorBidi" w:cstheme="majorBidi"/>
          <w:color w:val="000000"/>
          <w:sz w:val="20"/>
          <w:szCs w:val="20"/>
        </w:rPr>
        <w:t>《传播学概论》是传播学专业的基础必修课，它是一门探索和揭示人类传播的本质和规律的学科，也是传播研究者对人类传播现象和传播研究成果进行系统分析和有机整合而成的知识体系，它将为学生起到知识向导、学科理论铺垫以及开拓视野的作用。</w:t>
      </w:r>
    </w:p>
    <w:p>
      <w:pPr>
        <w:snapToGrid w:val="0"/>
        <w:spacing w:line="360" w:lineRule="auto"/>
        <w:ind w:firstLine="400" w:firstLineChars="200"/>
        <w:rPr>
          <w:rFonts w:asciiTheme="majorBidi" w:hAnsiTheme="majorBidi" w:cstheme="majorBidi"/>
          <w:color w:val="000000"/>
          <w:sz w:val="20"/>
          <w:szCs w:val="20"/>
        </w:rPr>
      </w:pPr>
      <w:r>
        <w:rPr>
          <w:rFonts w:hint="eastAsia" w:asciiTheme="majorBidi" w:hAnsiTheme="majorBidi" w:cstheme="majorBidi"/>
          <w:color w:val="000000"/>
          <w:sz w:val="20"/>
          <w:szCs w:val="20"/>
        </w:rPr>
        <w:t>本课程</w:t>
      </w:r>
      <w:r>
        <w:rPr>
          <w:rFonts w:asciiTheme="majorBidi" w:hAnsiTheme="majorBidi" w:cstheme="majorBidi"/>
          <w:color w:val="000000"/>
          <w:sz w:val="20"/>
          <w:szCs w:val="20"/>
        </w:rPr>
        <w:t>系统</w:t>
      </w:r>
      <w:r>
        <w:rPr>
          <w:rFonts w:hint="eastAsia" w:asciiTheme="majorBidi" w:hAnsiTheme="majorBidi" w:cstheme="majorBidi"/>
          <w:color w:val="000000"/>
          <w:sz w:val="20"/>
          <w:szCs w:val="20"/>
        </w:rPr>
        <w:t>讲授人类传播发展的历史、特点及形态，以及传播学研究的对象；传播学研究发展的历史及现状；人类信息传播的过程及模式，传播过程中各要素的相互作用；关于大众传播的相关理论，包括大众传播者、大众传播媒介、大众传播的受众、效果及其在现代社会中的表现和运用。</w:t>
      </w:r>
    </w:p>
    <w:p>
      <w:pPr>
        <w:snapToGrid w:val="0"/>
        <w:spacing w:line="360" w:lineRule="auto"/>
        <w:ind w:firstLine="400" w:firstLineChars="200"/>
        <w:rPr>
          <w:rFonts w:asciiTheme="majorBidi" w:hAnsiTheme="majorBidi" w:cstheme="majorBidi"/>
          <w:color w:val="000000"/>
          <w:sz w:val="20"/>
          <w:szCs w:val="20"/>
        </w:rPr>
      </w:pPr>
      <w:r>
        <w:rPr>
          <w:rFonts w:hint="eastAsia" w:asciiTheme="majorBidi" w:hAnsiTheme="majorBidi" w:cstheme="majorBidi"/>
          <w:color w:val="000000"/>
          <w:sz w:val="20"/>
          <w:szCs w:val="20"/>
        </w:rPr>
        <w:t>通过本课程的学习，学生应掌握传播学的基本理论和基本传播技巧，明确传播与信息、传播与符号的关系，能够理论联系实际，结合课堂教学，培养学生今后在实践中自主运用传播策略与传播技巧的创新能力。</w:t>
      </w: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snapToGrid w:val="0"/>
        <w:spacing w:line="288" w:lineRule="auto"/>
        <w:rPr>
          <w:color w:val="000000"/>
          <w:sz w:val="20"/>
          <w:szCs w:val="20"/>
        </w:rPr>
      </w:pP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选课建议（必填项）</w:t>
      </w:r>
    </w:p>
    <w:p>
      <w:pPr>
        <w:snapToGrid w:val="0"/>
        <w:spacing w:line="360" w:lineRule="auto"/>
        <w:ind w:firstLine="400" w:firstLineChars="200"/>
        <w:rPr>
          <w:rFonts w:asciiTheme="majorBidi" w:hAnsiTheme="majorBidi" w:cstheme="majorBidi"/>
          <w:color w:val="000000"/>
          <w:sz w:val="20"/>
          <w:szCs w:val="20"/>
        </w:rPr>
      </w:pPr>
      <w:r>
        <w:rPr>
          <w:rFonts w:asciiTheme="majorBidi" w:hAnsiTheme="majorBidi" w:cstheme="majorBidi"/>
          <w:color w:val="000000"/>
          <w:sz w:val="20"/>
          <w:szCs w:val="20"/>
        </w:rPr>
        <w:t>本课程适合传播学专业</w:t>
      </w:r>
      <w:r>
        <w:rPr>
          <w:rFonts w:hint="eastAsia" w:asciiTheme="majorBidi" w:hAnsiTheme="majorBidi" w:cstheme="majorBidi"/>
          <w:color w:val="000000"/>
          <w:sz w:val="20"/>
          <w:szCs w:val="20"/>
        </w:rPr>
        <w:t>一</w:t>
      </w:r>
      <w:r>
        <w:rPr>
          <w:rFonts w:hint="eastAsia" w:asciiTheme="majorBidi" w:hAnsiTheme="majorBidi" w:cstheme="majorBidi"/>
          <w:color w:val="000000"/>
          <w:sz w:val="20"/>
          <w:szCs w:val="20"/>
          <w:lang w:eastAsia="zh-CN"/>
        </w:rPr>
        <w:t>、二</w:t>
      </w:r>
      <w:r>
        <w:rPr>
          <w:rFonts w:asciiTheme="majorBidi" w:hAnsiTheme="majorBidi" w:cstheme="majorBidi"/>
          <w:color w:val="000000"/>
          <w:sz w:val="20"/>
          <w:szCs w:val="20"/>
        </w:rPr>
        <w:t>年级学生学习。</w:t>
      </w:r>
    </w:p>
    <w:p>
      <w:pPr>
        <w:snapToGrid w:val="0"/>
        <w:spacing w:line="288" w:lineRule="auto"/>
        <w:ind w:firstLine="400" w:firstLineChars="200"/>
        <w:rPr>
          <w:color w:val="000000"/>
          <w:sz w:val="20"/>
          <w:szCs w:val="20"/>
        </w:rPr>
      </w:pP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highlight w:val="yellow"/>
        </w:rPr>
        <w:t>专业毕业要求</w:t>
      </w:r>
      <w:r>
        <w:rPr>
          <w:rFonts w:ascii="黑体" w:hAnsi="宋体" w:eastAsia="黑体"/>
          <w:sz w:val="24"/>
        </w:rPr>
        <w:t>的关联性（必填项）</w:t>
      </w:r>
    </w:p>
    <w:tbl>
      <w:tblPr>
        <w:tblStyle w:val="6"/>
        <w:tblpPr w:leftFromText="180" w:rightFromText="180" w:vertAnchor="text" w:horzAnchor="page" w:tblpX="1916" w:tblpY="242"/>
        <w:tblOverlap w:val="never"/>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2"/>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262" w:type="dxa"/>
            <w:vAlign w:val="center"/>
          </w:tcPr>
          <w:p>
            <w:pPr>
              <w:spacing w:line="360" w:lineRule="auto"/>
              <w:jc w:val="center"/>
              <w:rPr>
                <w:rFonts w:eastAsia="黑体" w:asciiTheme="majorBidi" w:hAnsiTheme="majorBidi" w:cstheme="majorBidi"/>
                <w:kern w:val="0"/>
                <w:sz w:val="20"/>
                <w:szCs w:val="20"/>
              </w:rPr>
            </w:pPr>
            <w:r>
              <w:rPr>
                <w:rFonts w:eastAsia="黑体" w:asciiTheme="majorBidi" w:hAnsiTheme="majorBidi" w:cstheme="majorBidi"/>
                <w:kern w:val="0"/>
                <w:sz w:val="20"/>
                <w:szCs w:val="20"/>
              </w:rPr>
              <w:t>专业毕业要求</w:t>
            </w:r>
          </w:p>
        </w:tc>
        <w:tc>
          <w:tcPr>
            <w:tcW w:w="1068" w:type="dxa"/>
          </w:tcPr>
          <w:p>
            <w:pPr>
              <w:spacing w:line="360" w:lineRule="auto"/>
              <w:jc w:val="center"/>
              <w:rPr>
                <w:rFonts w:asciiTheme="majorBidi" w:hAnsiTheme="majorBidi" w:eastAsiaTheme="minorEastAsia" w:cstheme="majorBidi"/>
                <w:kern w:val="0"/>
                <w:sz w:val="20"/>
                <w:szCs w:val="20"/>
              </w:rPr>
            </w:pPr>
            <w:r>
              <w:rPr>
                <w:rFonts w:eastAsia="黑体" w:asciiTheme="majorBidi" w:hAnsiTheme="majorBidi" w:cstheme="majorBidi"/>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2" w:type="dxa"/>
            <w:vAlign w:val="center"/>
          </w:tcPr>
          <w:p>
            <w:pPr>
              <w:spacing w:line="360" w:lineRule="auto"/>
              <w:rPr>
                <w:rFonts w:asciiTheme="majorBidi" w:hAnsiTheme="majorBidi" w:eastAsiaTheme="minorEastAsia" w:cstheme="majorBidi"/>
                <w:kern w:val="0"/>
                <w:sz w:val="20"/>
                <w:szCs w:val="20"/>
              </w:rPr>
            </w:pPr>
            <w:r>
              <w:rPr>
                <w:rFonts w:asciiTheme="majorBidi" w:hAnsiTheme="majorBidi" w:eastAsiaTheme="minorEastAsia" w:cstheme="majorBidi"/>
                <w:color w:val="000000"/>
                <w:kern w:val="0"/>
                <w:sz w:val="20"/>
                <w:szCs w:val="20"/>
              </w:rPr>
              <w:t>LO11：理解他人的观点，尊重他人的价值观，能在不同场合用书面或口头形式进行有效沟通。</w:t>
            </w:r>
          </w:p>
        </w:tc>
        <w:tc>
          <w:tcPr>
            <w:tcW w:w="1068" w:type="dxa"/>
            <w:vAlign w:val="center"/>
          </w:tcPr>
          <w:p>
            <w:pPr>
              <w:spacing w:line="360" w:lineRule="auto"/>
              <w:jc w:val="center"/>
              <w:rPr>
                <w:rFonts w:asciiTheme="majorBidi" w:hAnsiTheme="majorBidi" w:eastAsiaTheme="minorEastAsia" w:cstheme="majorBid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2" w:type="dxa"/>
            <w:vAlign w:val="center"/>
          </w:tcPr>
          <w:p>
            <w:pPr>
              <w:widowControl/>
              <w:spacing w:line="360" w:lineRule="auto"/>
              <w:rPr>
                <w:rFonts w:asciiTheme="majorBidi" w:hAnsiTheme="majorBidi" w:eastAsiaTheme="minorEastAsia" w:cstheme="majorBidi"/>
                <w:kern w:val="0"/>
                <w:sz w:val="20"/>
                <w:szCs w:val="20"/>
              </w:rPr>
            </w:pPr>
            <w:r>
              <w:rPr>
                <w:rFonts w:asciiTheme="majorBidi" w:hAnsiTheme="majorBidi" w:eastAsiaTheme="minorEastAsia" w:cstheme="majorBidi"/>
                <w:color w:val="000000"/>
                <w:kern w:val="0"/>
                <w:sz w:val="20"/>
                <w:szCs w:val="20"/>
              </w:rPr>
              <w:t>LO21：学生能根据环境需要确定自己的学习目标，并主动地通过搜集信息、分析信息、讨论、实践、质疑、创造等方法来实现学习目标。</w:t>
            </w:r>
          </w:p>
        </w:tc>
        <w:tc>
          <w:tcPr>
            <w:tcW w:w="1068" w:type="dxa"/>
            <w:vAlign w:val="center"/>
          </w:tcPr>
          <w:p>
            <w:pPr>
              <w:widowControl/>
              <w:spacing w:line="360" w:lineRule="auto"/>
              <w:jc w:val="center"/>
              <w:rPr>
                <w:rFonts w:asciiTheme="majorBidi" w:hAnsiTheme="majorBidi" w:eastAsiaTheme="minorEastAsia" w:cstheme="majorBid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2" w:type="dxa"/>
            <w:vAlign w:val="center"/>
          </w:tcPr>
          <w:p>
            <w:pPr>
              <w:widowControl/>
              <w:spacing w:line="360" w:lineRule="auto"/>
              <w:rPr>
                <w:rFonts w:asciiTheme="majorBidi" w:hAnsiTheme="majorBidi" w:eastAsiaTheme="minorEastAsia" w:cstheme="majorBidi"/>
                <w:kern w:val="0"/>
                <w:sz w:val="20"/>
                <w:szCs w:val="20"/>
              </w:rPr>
            </w:pPr>
            <w:r>
              <w:rPr>
                <w:rFonts w:asciiTheme="majorBidi" w:hAnsiTheme="majorBidi" w:eastAsiaTheme="minorEastAsia" w:cstheme="majorBidi"/>
                <w:color w:val="000000"/>
                <w:kern w:val="0"/>
                <w:sz w:val="20"/>
                <w:szCs w:val="20"/>
              </w:rPr>
              <w:t>LO31：</w:t>
            </w:r>
            <w:r>
              <w:rPr>
                <w:rFonts w:asciiTheme="majorBidi" w:hAnsiTheme="majorBidi" w:eastAsiaTheme="minorEastAsia" w:cstheme="majorBidi"/>
                <w:bCs/>
                <w:color w:val="000000"/>
                <w:kern w:val="0"/>
                <w:sz w:val="20"/>
                <w:szCs w:val="20"/>
              </w:rPr>
              <w:t>传播理论：掌握传播学的核心理论、基本知识。</w:t>
            </w:r>
          </w:p>
        </w:tc>
        <w:tc>
          <w:tcPr>
            <w:tcW w:w="1068" w:type="dxa"/>
            <w:vAlign w:val="center"/>
          </w:tcPr>
          <w:p>
            <w:pPr>
              <w:widowControl/>
              <w:spacing w:line="360" w:lineRule="auto"/>
              <w:jc w:val="center"/>
              <w:rPr>
                <w:rFonts w:asciiTheme="majorBidi" w:hAnsiTheme="majorBidi" w:eastAsiaTheme="minorEastAsia" w:cstheme="majorBidi"/>
                <w:color w:val="000000"/>
                <w:kern w:val="0"/>
                <w:sz w:val="20"/>
                <w:szCs w:val="20"/>
              </w:rPr>
            </w:pPr>
            <w:r>
              <w:rPr>
                <w:rFonts w:asciiTheme="majorBidi" w:hAnsiTheme="majorBidi" w:cstheme="majorBidi"/>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2" w:type="dxa"/>
            <w:vAlign w:val="center"/>
          </w:tcPr>
          <w:p>
            <w:pPr>
              <w:widowControl/>
              <w:spacing w:line="360" w:lineRule="auto"/>
              <w:rPr>
                <w:rFonts w:asciiTheme="majorBidi" w:hAnsiTheme="majorBidi" w:eastAsiaTheme="minorEastAsia" w:cstheme="majorBidi"/>
                <w:color w:val="000000"/>
                <w:kern w:val="0"/>
                <w:sz w:val="20"/>
                <w:szCs w:val="20"/>
              </w:rPr>
            </w:pPr>
            <w:r>
              <w:rPr>
                <w:rFonts w:asciiTheme="majorBidi" w:hAnsiTheme="majorBidi" w:eastAsiaTheme="minorEastAsia" w:cstheme="majorBidi"/>
                <w:color w:val="000000"/>
                <w:kern w:val="0"/>
                <w:sz w:val="20"/>
                <w:szCs w:val="20"/>
              </w:rPr>
              <w:t>LO32：</w:t>
            </w:r>
            <w:r>
              <w:rPr>
                <w:rFonts w:asciiTheme="majorBidi" w:hAnsiTheme="majorBidi" w:eastAsiaTheme="minorEastAsia" w:cstheme="majorBidi"/>
                <w:bCs/>
                <w:color w:val="000000"/>
                <w:kern w:val="0"/>
                <w:sz w:val="20"/>
                <w:szCs w:val="20"/>
              </w:rPr>
              <w:t>视频制作：掌握视频内容的策划、拍摄、后期制作，具备传播视觉化信息的基本能力。</w:t>
            </w:r>
          </w:p>
        </w:tc>
        <w:tc>
          <w:tcPr>
            <w:tcW w:w="1068" w:type="dxa"/>
            <w:vAlign w:val="center"/>
          </w:tcPr>
          <w:p>
            <w:pPr>
              <w:widowControl/>
              <w:spacing w:line="360" w:lineRule="auto"/>
              <w:jc w:val="center"/>
              <w:rPr>
                <w:rFonts w:asciiTheme="majorBidi" w:hAnsiTheme="majorBidi" w:eastAsiaTheme="minorEastAsia" w:cstheme="majorBidi"/>
                <w:color w:val="000000"/>
                <w:kern w:val="0"/>
                <w:sz w:val="20"/>
                <w:szCs w:val="20"/>
              </w:rPr>
            </w:pPr>
            <w:r>
              <w:rPr>
                <w:rFonts w:asciiTheme="majorBidi" w:hAnsiTheme="majorBidi" w:cstheme="majorBidi"/>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2" w:type="dxa"/>
            <w:vAlign w:val="center"/>
          </w:tcPr>
          <w:p>
            <w:pPr>
              <w:widowControl/>
              <w:spacing w:line="360" w:lineRule="auto"/>
              <w:rPr>
                <w:rFonts w:asciiTheme="majorBidi" w:hAnsiTheme="majorBidi" w:eastAsiaTheme="minorEastAsia" w:cstheme="majorBidi"/>
                <w:color w:val="000000"/>
                <w:kern w:val="0"/>
                <w:sz w:val="20"/>
                <w:szCs w:val="20"/>
              </w:rPr>
            </w:pPr>
            <w:r>
              <w:rPr>
                <w:rFonts w:asciiTheme="majorBidi" w:hAnsiTheme="majorBidi" w:eastAsiaTheme="minorEastAsia" w:cstheme="majorBidi"/>
                <w:color w:val="000000"/>
                <w:kern w:val="0"/>
                <w:sz w:val="20"/>
                <w:szCs w:val="20"/>
              </w:rPr>
              <w:t>LO33：</w:t>
            </w:r>
            <w:r>
              <w:rPr>
                <w:rFonts w:asciiTheme="majorBidi" w:hAnsiTheme="majorBidi" w:eastAsiaTheme="minorEastAsia" w:cstheme="majorBidi"/>
                <w:bCs/>
                <w:color w:val="000000"/>
                <w:kern w:val="0"/>
                <w:sz w:val="20"/>
                <w:szCs w:val="20"/>
              </w:rPr>
              <w:t>文本写作：根据不同传播渠道的规范要求，具备基本的文本写作能力。</w:t>
            </w:r>
          </w:p>
        </w:tc>
        <w:tc>
          <w:tcPr>
            <w:tcW w:w="1068" w:type="dxa"/>
            <w:vAlign w:val="center"/>
          </w:tcPr>
          <w:p>
            <w:pPr>
              <w:widowControl/>
              <w:spacing w:line="360" w:lineRule="auto"/>
              <w:jc w:val="center"/>
              <w:rPr>
                <w:rFonts w:asciiTheme="majorBidi" w:hAnsiTheme="majorBidi" w:eastAsiaTheme="minorEastAsia" w:cstheme="majorBid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2" w:type="dxa"/>
            <w:vAlign w:val="center"/>
          </w:tcPr>
          <w:p>
            <w:pPr>
              <w:widowControl/>
              <w:spacing w:line="360" w:lineRule="auto"/>
              <w:rPr>
                <w:rFonts w:asciiTheme="majorBidi" w:hAnsiTheme="majorBidi" w:eastAsiaTheme="minorEastAsia" w:cstheme="majorBidi"/>
                <w:color w:val="000000"/>
                <w:kern w:val="0"/>
                <w:sz w:val="20"/>
                <w:szCs w:val="20"/>
              </w:rPr>
            </w:pPr>
            <w:r>
              <w:rPr>
                <w:rFonts w:asciiTheme="majorBidi" w:hAnsiTheme="majorBidi" w:eastAsiaTheme="minorEastAsia" w:cstheme="majorBidi"/>
                <w:color w:val="000000"/>
                <w:kern w:val="0"/>
                <w:sz w:val="20"/>
                <w:szCs w:val="20"/>
              </w:rPr>
              <w:t>LO34：</w:t>
            </w:r>
            <w:r>
              <w:rPr>
                <w:rFonts w:asciiTheme="majorBidi" w:hAnsiTheme="majorBidi" w:eastAsiaTheme="minorEastAsia" w:cstheme="majorBidi"/>
                <w:bCs/>
                <w:color w:val="000000"/>
                <w:kern w:val="0"/>
                <w:sz w:val="20"/>
                <w:szCs w:val="20"/>
              </w:rPr>
              <w:t>新媒体运营：掌握互联网和移动互联网各类媒体工具的使用，具备新媒体的日常运营能力。</w:t>
            </w:r>
          </w:p>
        </w:tc>
        <w:tc>
          <w:tcPr>
            <w:tcW w:w="1068" w:type="dxa"/>
            <w:vAlign w:val="center"/>
          </w:tcPr>
          <w:p>
            <w:pPr>
              <w:widowControl/>
              <w:spacing w:line="360" w:lineRule="auto"/>
              <w:jc w:val="center"/>
              <w:rPr>
                <w:rFonts w:asciiTheme="majorBidi" w:hAnsiTheme="majorBidi" w:eastAsiaTheme="minorEastAsia" w:cstheme="majorBidi"/>
                <w:color w:val="000000"/>
                <w:kern w:val="0"/>
                <w:sz w:val="20"/>
                <w:szCs w:val="20"/>
              </w:rPr>
            </w:pPr>
            <w:r>
              <w:rPr>
                <w:rFonts w:asciiTheme="majorBidi" w:hAnsiTheme="majorBidi" w:cstheme="majorBidi"/>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2" w:type="dxa"/>
            <w:vAlign w:val="center"/>
          </w:tcPr>
          <w:p>
            <w:pPr>
              <w:widowControl/>
              <w:spacing w:line="360" w:lineRule="auto"/>
              <w:rPr>
                <w:rFonts w:asciiTheme="majorBidi" w:hAnsiTheme="majorBidi" w:eastAsiaTheme="minorEastAsia" w:cstheme="majorBidi"/>
                <w:color w:val="000000"/>
                <w:kern w:val="0"/>
                <w:sz w:val="20"/>
                <w:szCs w:val="20"/>
              </w:rPr>
            </w:pPr>
            <w:r>
              <w:rPr>
                <w:rFonts w:asciiTheme="majorBidi" w:hAnsiTheme="majorBidi" w:eastAsiaTheme="minorEastAsia" w:cstheme="majorBidi"/>
                <w:color w:val="000000"/>
                <w:kern w:val="0"/>
                <w:sz w:val="20"/>
                <w:szCs w:val="20"/>
              </w:rPr>
              <w:t>LO35：</w:t>
            </w:r>
            <w:r>
              <w:rPr>
                <w:rFonts w:asciiTheme="majorBidi" w:hAnsiTheme="majorBidi" w:eastAsiaTheme="minorEastAsia" w:cstheme="majorBidi"/>
                <w:bCs/>
                <w:color w:val="000000"/>
                <w:kern w:val="0"/>
                <w:sz w:val="20"/>
                <w:szCs w:val="20"/>
              </w:rPr>
              <w:t>人文素养：对文学、绘画、影视、音乐、戏剧等文化艺术具有基本的鉴赏能力，体现出媒介内容制作的质量和品位。</w:t>
            </w:r>
          </w:p>
        </w:tc>
        <w:tc>
          <w:tcPr>
            <w:tcW w:w="1068" w:type="dxa"/>
            <w:vAlign w:val="center"/>
          </w:tcPr>
          <w:p>
            <w:pPr>
              <w:widowControl/>
              <w:spacing w:line="360" w:lineRule="auto"/>
              <w:jc w:val="center"/>
              <w:rPr>
                <w:rFonts w:asciiTheme="majorBidi" w:hAnsiTheme="majorBidi" w:eastAsiaTheme="minorEastAsia" w:cstheme="majorBid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2" w:type="dxa"/>
            <w:vAlign w:val="center"/>
          </w:tcPr>
          <w:p>
            <w:pPr>
              <w:widowControl/>
              <w:spacing w:line="360" w:lineRule="auto"/>
              <w:rPr>
                <w:rFonts w:asciiTheme="majorBidi" w:hAnsiTheme="majorBidi" w:eastAsiaTheme="minorEastAsia" w:cstheme="majorBidi"/>
                <w:kern w:val="0"/>
                <w:sz w:val="20"/>
                <w:szCs w:val="20"/>
              </w:rPr>
            </w:pPr>
            <w:r>
              <w:rPr>
                <w:rFonts w:asciiTheme="majorBidi" w:hAnsiTheme="majorBidi" w:eastAsiaTheme="minorEastAsia" w:cstheme="majorBidi"/>
                <w:color w:val="000000"/>
                <w:kern w:val="0"/>
                <w:sz w:val="20"/>
                <w:szCs w:val="20"/>
              </w:rPr>
              <w:t>LO41：遵守纪律、守信守责；具有耐挫折、抗压力的能力。</w:t>
            </w:r>
          </w:p>
        </w:tc>
        <w:tc>
          <w:tcPr>
            <w:tcW w:w="1068" w:type="dxa"/>
            <w:vAlign w:val="center"/>
          </w:tcPr>
          <w:p>
            <w:pPr>
              <w:widowControl/>
              <w:spacing w:line="360" w:lineRule="auto"/>
              <w:jc w:val="center"/>
              <w:rPr>
                <w:rFonts w:asciiTheme="majorBidi" w:hAnsiTheme="majorBidi" w:eastAsiaTheme="minorEastAsia" w:cstheme="majorBid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2" w:type="dxa"/>
            <w:vAlign w:val="center"/>
          </w:tcPr>
          <w:p>
            <w:pPr>
              <w:widowControl/>
              <w:spacing w:line="360" w:lineRule="auto"/>
              <w:rPr>
                <w:rFonts w:asciiTheme="majorBidi" w:hAnsiTheme="majorBidi" w:eastAsiaTheme="minorEastAsia" w:cstheme="majorBidi"/>
                <w:kern w:val="0"/>
                <w:sz w:val="20"/>
                <w:szCs w:val="20"/>
              </w:rPr>
            </w:pPr>
            <w:r>
              <w:rPr>
                <w:rFonts w:asciiTheme="majorBidi" w:hAnsiTheme="majorBidi" w:eastAsiaTheme="minorEastAsia" w:cstheme="majorBidi"/>
                <w:color w:val="000000"/>
                <w:kern w:val="0"/>
                <w:sz w:val="20"/>
                <w:szCs w:val="20"/>
              </w:rPr>
              <w:t>LO51：同群体保持良好的合作关系，做集体中的积极成员；善于从多个维度思考问题，利用自己的知识与实践来提出新设想。</w:t>
            </w:r>
          </w:p>
        </w:tc>
        <w:tc>
          <w:tcPr>
            <w:tcW w:w="1068" w:type="dxa"/>
            <w:vAlign w:val="center"/>
          </w:tcPr>
          <w:p>
            <w:pPr>
              <w:widowControl/>
              <w:spacing w:line="360" w:lineRule="auto"/>
              <w:jc w:val="center"/>
              <w:rPr>
                <w:rFonts w:asciiTheme="majorBidi" w:hAnsiTheme="majorBidi" w:eastAsiaTheme="minorEastAsia" w:cstheme="majorBidi"/>
                <w:color w:val="000000"/>
                <w:kern w:val="0"/>
                <w:sz w:val="20"/>
                <w:szCs w:val="20"/>
              </w:rPr>
            </w:pPr>
            <w:r>
              <w:rPr>
                <w:rFonts w:asciiTheme="majorBidi" w:hAnsiTheme="majorBidi" w:cstheme="majorBidi"/>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7262" w:type="dxa"/>
            <w:vAlign w:val="center"/>
          </w:tcPr>
          <w:p>
            <w:pPr>
              <w:widowControl/>
              <w:spacing w:line="360" w:lineRule="auto"/>
              <w:rPr>
                <w:rFonts w:asciiTheme="majorBidi" w:hAnsiTheme="majorBidi" w:eastAsiaTheme="minorEastAsia" w:cstheme="majorBidi"/>
                <w:kern w:val="0"/>
                <w:sz w:val="20"/>
                <w:szCs w:val="20"/>
              </w:rPr>
            </w:pPr>
            <w:r>
              <w:rPr>
                <w:rFonts w:asciiTheme="majorBidi" w:hAnsiTheme="majorBidi" w:eastAsiaTheme="minorEastAsia" w:cstheme="majorBidi"/>
                <w:color w:val="000000"/>
                <w:kern w:val="0"/>
                <w:sz w:val="20"/>
                <w:szCs w:val="20"/>
              </w:rPr>
              <w:t>LO61：具备一定的信息素养，并能在工作中应用信息技术解决问题。</w:t>
            </w:r>
          </w:p>
        </w:tc>
        <w:tc>
          <w:tcPr>
            <w:tcW w:w="1068" w:type="dxa"/>
            <w:vAlign w:val="center"/>
          </w:tcPr>
          <w:p>
            <w:pPr>
              <w:widowControl/>
              <w:spacing w:line="360" w:lineRule="auto"/>
              <w:jc w:val="center"/>
              <w:rPr>
                <w:rFonts w:asciiTheme="majorBidi" w:hAnsiTheme="majorBidi" w:eastAsiaTheme="minorEastAsia" w:cstheme="majorBid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2" w:type="dxa"/>
            <w:vAlign w:val="center"/>
          </w:tcPr>
          <w:p>
            <w:pPr>
              <w:widowControl/>
              <w:spacing w:line="360" w:lineRule="auto"/>
              <w:rPr>
                <w:rFonts w:asciiTheme="majorBidi" w:hAnsiTheme="majorBidi" w:eastAsiaTheme="minorEastAsia" w:cstheme="majorBidi"/>
                <w:kern w:val="0"/>
                <w:sz w:val="20"/>
                <w:szCs w:val="20"/>
              </w:rPr>
            </w:pPr>
            <w:r>
              <w:rPr>
                <w:rFonts w:asciiTheme="majorBidi" w:hAnsiTheme="majorBidi" w:eastAsiaTheme="minorEastAsia" w:cstheme="majorBidi"/>
                <w:color w:val="000000"/>
                <w:kern w:val="0"/>
                <w:sz w:val="20"/>
                <w:szCs w:val="20"/>
              </w:rPr>
              <w:t>LO71：</w:t>
            </w:r>
            <w:r>
              <w:rPr>
                <w:rFonts w:asciiTheme="majorBidi" w:hAnsiTheme="majorBidi" w:eastAsiaTheme="minorEastAsia" w:cstheme="majorBidi"/>
                <w:kern w:val="0"/>
                <w:sz w:val="20"/>
                <w:szCs w:val="20"/>
              </w:rPr>
              <w:t>愿意</w:t>
            </w:r>
            <w:r>
              <w:rPr>
                <w:rFonts w:asciiTheme="majorBidi" w:hAnsiTheme="majorBidi" w:eastAsiaTheme="minorEastAsia" w:cstheme="majorBidi"/>
                <w:color w:val="000000"/>
                <w:kern w:val="0"/>
                <w:sz w:val="20"/>
                <w:szCs w:val="20"/>
              </w:rPr>
              <w:t>服务他人、服务企业、服务社会；为人热忱，富于爱心，懂得感恩</w:t>
            </w:r>
          </w:p>
        </w:tc>
        <w:tc>
          <w:tcPr>
            <w:tcW w:w="1068" w:type="dxa"/>
            <w:vAlign w:val="center"/>
          </w:tcPr>
          <w:p>
            <w:pPr>
              <w:widowControl/>
              <w:spacing w:line="360" w:lineRule="auto"/>
              <w:jc w:val="center"/>
              <w:rPr>
                <w:rFonts w:asciiTheme="majorBidi" w:hAnsiTheme="majorBidi" w:eastAsiaTheme="minorEastAsia" w:cstheme="majorBid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2" w:type="dxa"/>
            <w:vAlign w:val="center"/>
          </w:tcPr>
          <w:p>
            <w:pPr>
              <w:widowControl/>
              <w:spacing w:line="360" w:lineRule="auto"/>
              <w:rPr>
                <w:rFonts w:asciiTheme="majorBidi" w:hAnsiTheme="majorBidi" w:eastAsiaTheme="minorEastAsia" w:cstheme="majorBidi"/>
                <w:kern w:val="0"/>
                <w:sz w:val="20"/>
                <w:szCs w:val="20"/>
              </w:rPr>
            </w:pPr>
            <w:r>
              <w:rPr>
                <w:rFonts w:asciiTheme="majorBidi" w:hAnsiTheme="majorBidi" w:eastAsiaTheme="minorEastAsia" w:cstheme="majorBidi"/>
                <w:color w:val="000000"/>
                <w:kern w:val="0"/>
                <w:sz w:val="20"/>
                <w:szCs w:val="20"/>
              </w:rPr>
              <w:t>LO81：具有基本的外语表达沟通能力与跨文化理解能力，有国际竞争与合作的意识。</w:t>
            </w:r>
          </w:p>
        </w:tc>
        <w:tc>
          <w:tcPr>
            <w:tcW w:w="1068" w:type="dxa"/>
            <w:vAlign w:val="center"/>
          </w:tcPr>
          <w:p>
            <w:pPr>
              <w:widowControl/>
              <w:spacing w:line="360" w:lineRule="auto"/>
              <w:jc w:val="center"/>
              <w:rPr>
                <w:rFonts w:asciiTheme="majorBidi" w:hAnsiTheme="majorBidi" w:eastAsiaTheme="minorEastAsia" w:cstheme="majorBidi"/>
                <w:color w:val="000000"/>
                <w:kern w:val="0"/>
                <w:sz w:val="20"/>
                <w:szCs w:val="20"/>
              </w:rPr>
            </w:pPr>
          </w:p>
        </w:tc>
      </w:tr>
    </w:tbl>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pPr>
      <w:r>
        <w:rPr>
          <w:rFonts w:hint="eastAsia"/>
        </w:rPr>
        <w:t>备注：LO=</w:t>
      </w:r>
      <w:r>
        <w:t>learning outcomes</w:t>
      </w:r>
      <w:r>
        <w:rPr>
          <w:rFonts w:hint="eastAsia"/>
        </w:rPr>
        <w:t>（学习成果）</w:t>
      </w:r>
    </w:p>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highlight w:val="yellow"/>
        </w:rPr>
        <w:t>五、</w:t>
      </w:r>
      <w:r>
        <w:rPr>
          <w:rFonts w:ascii="黑体" w:hAnsi="宋体" w:eastAsia="黑体"/>
          <w:sz w:val="24"/>
          <w:highlight w:val="yellow"/>
        </w:rPr>
        <w:t>课程</w:t>
      </w:r>
      <w:r>
        <w:rPr>
          <w:rFonts w:hint="eastAsia" w:ascii="黑体" w:hAnsi="宋体" w:eastAsia="黑体"/>
          <w:sz w:val="24"/>
          <w:highlight w:val="yellow"/>
        </w:rPr>
        <w:t>目标/课程预期学习成果</w:t>
      </w:r>
      <w:r>
        <w:rPr>
          <w:rFonts w:ascii="黑体" w:hAnsi="宋体" w:eastAsia="黑体"/>
          <w:sz w:val="24"/>
          <w:highlight w:val="yellow"/>
        </w:rPr>
        <w:t>（必填项）（</w:t>
      </w:r>
      <w:r>
        <w:rPr>
          <w:rFonts w:hint="eastAsia" w:ascii="黑体" w:hAnsi="宋体" w:eastAsia="黑体"/>
          <w:sz w:val="24"/>
          <w:highlight w:val="yellow"/>
        </w:rPr>
        <w:t>预期学习成果</w:t>
      </w:r>
      <w:r>
        <w:rPr>
          <w:rFonts w:ascii="黑体" w:hAnsi="宋体" w:eastAsia="黑体"/>
          <w:sz w:val="24"/>
          <w:highlight w:val="yellow"/>
        </w:rPr>
        <w:t>要可测量/能够证明）</w:t>
      </w:r>
    </w:p>
    <w:p>
      <w:pPr>
        <w:spacing w:line="360" w:lineRule="auto"/>
        <w:ind w:firstLine="500" w:firstLineChars="250"/>
        <w:rPr>
          <w:sz w:val="20"/>
          <w:szCs w:val="20"/>
          <w:highlight w:val="yellow"/>
        </w:rPr>
      </w:pPr>
      <w:r>
        <w:rPr>
          <w:rFonts w:hint="eastAsia"/>
          <w:sz w:val="20"/>
          <w:szCs w:val="20"/>
          <w:highlight w:val="yellow"/>
        </w:rPr>
        <w:t>专业能力写到毕业要求层级（二级编码），通用能力写到指标点层级（三级编码），如果是应用型本科试点专业全部写到指标点层级（三级编码）。在“课程目标（细化的预期学习成果）”这列要写清楚指标点（或者毕业要求）在本门课程里面的具体表现，撰写时以适当的行为动词引导。</w:t>
      </w:r>
    </w:p>
    <w:tbl>
      <w:tblPr>
        <w:tblStyle w:val="5"/>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1887"/>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highlight w:val="yellow"/>
              </w:rPr>
              <w:t>（细化的预期学习成果</w:t>
            </w:r>
            <w:r>
              <w:rPr>
                <w:rFonts w:hint="eastAsia"/>
                <w:b/>
                <w:color w:val="000000"/>
                <w:sz w:val="20"/>
                <w:szCs w:val="20"/>
              </w:rPr>
              <w:t>）</w:t>
            </w:r>
          </w:p>
        </w:tc>
        <w:tc>
          <w:tcPr>
            <w:tcW w:w="1887"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588"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p>
        </w:tc>
        <w:tc>
          <w:tcPr>
            <w:tcW w:w="1175" w:type="dxa"/>
            <w:shd w:val="clear" w:color="auto" w:fill="auto"/>
            <w:vAlign w:val="center"/>
          </w:tcPr>
          <w:p>
            <w:pPr>
              <w:rPr>
                <w:rFonts w:ascii="仿宋" w:hAnsi="仿宋" w:eastAsia="仿宋" w:cs="宋体"/>
                <w:color w:val="000000"/>
                <w:kern w:val="0"/>
                <w:sz w:val="24"/>
              </w:rPr>
            </w:pPr>
            <w:r>
              <w:rPr>
                <w:rFonts w:hint="eastAsia" w:ascii="仿宋" w:hAnsi="仿宋" w:eastAsia="仿宋" w:cs="宋体"/>
                <w:color w:val="000000"/>
                <w:kern w:val="0"/>
                <w:sz w:val="24"/>
                <w:szCs w:val="24"/>
              </w:rPr>
              <w:t>LO211</w:t>
            </w:r>
          </w:p>
        </w:tc>
        <w:tc>
          <w:tcPr>
            <w:tcW w:w="2470" w:type="dxa"/>
            <w:shd w:val="clear" w:color="auto" w:fill="auto"/>
          </w:tcPr>
          <w:p>
            <w:pPr>
              <w:rPr>
                <w:rFonts w:ascii="仿宋" w:hAnsi="仿宋" w:eastAsia="仿宋" w:cs="宋体"/>
                <w:color w:val="000000"/>
                <w:kern w:val="0"/>
                <w:sz w:val="24"/>
              </w:rPr>
            </w:pPr>
            <w:r>
              <w:rPr>
                <w:rFonts w:asciiTheme="majorBidi" w:hAnsiTheme="majorBidi" w:eastAsiaTheme="minorEastAsia" w:cstheme="majorBidi"/>
                <w:bCs/>
                <w:color w:val="000000"/>
                <w:kern w:val="0"/>
                <w:sz w:val="20"/>
                <w:szCs w:val="20"/>
              </w:rPr>
              <w:t>传播理论：掌握传播学的核心理论、基本知识。</w:t>
            </w:r>
          </w:p>
        </w:tc>
        <w:tc>
          <w:tcPr>
            <w:tcW w:w="1887" w:type="dxa"/>
            <w:shd w:val="clear" w:color="auto" w:fill="auto"/>
          </w:tcPr>
          <w:p>
            <w:pPr>
              <w:snapToGrid w:val="0"/>
              <w:spacing w:line="288" w:lineRule="auto"/>
              <w:jc w:val="left"/>
              <w:rPr>
                <w:rFonts w:hint="eastAsia" w:ascii="黑体" w:hAnsi="宋体" w:eastAsia="黑体"/>
                <w:sz w:val="24"/>
                <w:lang w:eastAsia="zh-CN"/>
              </w:rPr>
            </w:pPr>
            <w:r>
              <w:rPr>
                <w:rFonts w:hint="eastAsia" w:ascii="宋体" w:hAnsi="宋体" w:eastAsia="宋体" w:cs="宋体"/>
                <w:b w:val="0"/>
                <w:bCs w:val="0"/>
                <w:sz w:val="21"/>
                <w:szCs w:val="21"/>
                <w:lang w:eastAsia="zh-CN"/>
              </w:rPr>
              <w:t>课堂上讲解传播学四大奠基人的生平与核心理论</w:t>
            </w:r>
          </w:p>
        </w:tc>
        <w:tc>
          <w:tcPr>
            <w:tcW w:w="1588" w:type="dxa"/>
            <w:shd w:val="clear" w:color="auto" w:fill="auto"/>
          </w:tcPr>
          <w:p>
            <w:pPr>
              <w:snapToGrid w:val="0"/>
              <w:spacing w:line="288" w:lineRule="auto"/>
              <w:jc w:val="left"/>
              <w:rPr>
                <w:rFonts w:hint="eastAsia" w:ascii="黑体" w:hAnsi="宋体" w:eastAsia="黑体"/>
                <w:sz w:val="24"/>
                <w:lang w:eastAsia="zh-CN"/>
              </w:rPr>
            </w:pPr>
            <w:r>
              <w:rPr>
                <w:rFonts w:hint="eastAsia" w:ascii="宋体" w:hAnsi="宋体" w:eastAsia="宋体" w:cs="宋体"/>
                <w:sz w:val="24"/>
                <w:lang w:eastAsia="zh-CN"/>
              </w:rPr>
              <w:t>根据学生完成课堂测验情况，进行评价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1" w:hRule="atLeast"/>
        </w:trPr>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2</w:t>
            </w:r>
          </w:p>
        </w:tc>
        <w:tc>
          <w:tcPr>
            <w:tcW w:w="117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LO3</w:t>
            </w:r>
            <w:r>
              <w:rPr>
                <w:rFonts w:hint="eastAsia" w:ascii="仿宋" w:hAnsi="仿宋" w:eastAsia="仿宋" w:cs="宋体"/>
                <w:color w:val="000000"/>
                <w:kern w:val="0"/>
                <w:sz w:val="24"/>
                <w:szCs w:val="24"/>
                <w:lang w:val="en-US" w:eastAsia="zh-CN"/>
              </w:rPr>
              <w:t>1</w:t>
            </w:r>
          </w:p>
        </w:tc>
        <w:tc>
          <w:tcPr>
            <w:tcW w:w="2470" w:type="dxa"/>
            <w:shd w:val="clear" w:color="auto" w:fill="auto"/>
          </w:tcPr>
          <w:p>
            <w:pPr>
              <w:rPr>
                <w:rFonts w:ascii="仿宋" w:hAnsi="仿宋" w:eastAsia="仿宋" w:cs="宋体"/>
                <w:color w:val="000000"/>
                <w:kern w:val="0"/>
                <w:sz w:val="24"/>
              </w:rPr>
            </w:pPr>
            <w:r>
              <w:rPr>
                <w:rFonts w:asciiTheme="majorBidi" w:hAnsiTheme="majorBidi" w:eastAsiaTheme="minorEastAsia" w:cstheme="majorBidi"/>
                <w:color w:val="000000"/>
                <w:kern w:val="0"/>
                <w:sz w:val="20"/>
                <w:szCs w:val="20"/>
              </w:rPr>
              <w:t>学生能根据环境需要确定自己的学习目标，并主动地通过搜集信息、分析信息、讨论、实践、质疑、创造等方法来实现学习目标。</w:t>
            </w:r>
          </w:p>
        </w:tc>
        <w:tc>
          <w:tcPr>
            <w:tcW w:w="1887" w:type="dxa"/>
            <w:shd w:val="clear" w:color="auto" w:fill="auto"/>
          </w:tcPr>
          <w:p>
            <w:pPr>
              <w:snapToGrid w:val="0"/>
              <w:spacing w:line="288" w:lineRule="auto"/>
              <w:jc w:val="left"/>
              <w:rPr>
                <w:rFonts w:hint="eastAsia" w:ascii="黑体" w:hAnsi="宋体" w:eastAsia="黑体"/>
                <w:sz w:val="24"/>
                <w:lang w:eastAsia="zh-CN"/>
              </w:rPr>
            </w:pPr>
            <w:r>
              <w:rPr>
                <w:rFonts w:hint="eastAsia" w:ascii="宋体" w:hAnsi="宋体" w:eastAsia="宋体" w:cs="宋体"/>
                <w:sz w:val="21"/>
                <w:szCs w:val="21"/>
                <w:lang w:eastAsia="zh-CN"/>
              </w:rPr>
              <w:t>以当前社会热点话题与事件作为教学案例，与学生课堂交流。</w:t>
            </w:r>
          </w:p>
        </w:tc>
        <w:tc>
          <w:tcPr>
            <w:tcW w:w="1588" w:type="dxa"/>
            <w:shd w:val="clear" w:color="auto" w:fill="auto"/>
          </w:tcPr>
          <w:p>
            <w:pPr>
              <w:snapToGrid w:val="0"/>
              <w:spacing w:line="288" w:lineRule="auto"/>
              <w:jc w:val="left"/>
              <w:rPr>
                <w:rFonts w:hint="eastAsia" w:ascii="黑体" w:hAnsi="宋体" w:eastAsia="黑体"/>
                <w:sz w:val="24"/>
                <w:lang w:eastAsia="zh-CN"/>
              </w:rPr>
            </w:pPr>
            <w:r>
              <w:rPr>
                <w:rFonts w:hint="eastAsia" w:ascii="宋体" w:hAnsi="宋体" w:eastAsia="宋体" w:cs="宋体"/>
                <w:sz w:val="21"/>
                <w:szCs w:val="21"/>
                <w:lang w:eastAsia="zh-CN"/>
              </w:rPr>
              <w:t>让学生进行小组作业展示，教师点</w:t>
            </w:r>
            <w:r>
              <w:rPr>
                <w:rFonts w:hint="eastAsia" w:ascii="宋体" w:hAnsi="宋体" w:cs="宋体"/>
                <w:sz w:val="21"/>
                <w:szCs w:val="21"/>
                <w:lang w:eastAsia="zh-CN"/>
              </w:rPr>
              <w:t>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1" w:hRule="atLeast"/>
        </w:trPr>
        <w:tc>
          <w:tcPr>
            <w:tcW w:w="535" w:type="dxa"/>
            <w:shd w:val="clear" w:color="auto" w:fill="auto"/>
          </w:tcPr>
          <w:p>
            <w:pP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3</w:t>
            </w:r>
          </w:p>
        </w:tc>
        <w:tc>
          <w:tcPr>
            <w:tcW w:w="1175" w:type="dxa"/>
            <w:shd w:val="clear" w:color="auto" w:fill="auto"/>
          </w:tcPr>
          <w:p>
            <w:pP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L033</w:t>
            </w:r>
          </w:p>
        </w:tc>
        <w:tc>
          <w:tcPr>
            <w:tcW w:w="2470" w:type="dxa"/>
            <w:shd w:val="clear" w:color="auto" w:fill="auto"/>
          </w:tcPr>
          <w:p>
            <w:pPr>
              <w:rPr>
                <w:rFonts w:asciiTheme="majorBidi" w:hAnsiTheme="majorBidi" w:eastAsiaTheme="minorEastAsia" w:cstheme="majorBidi"/>
                <w:color w:val="000000"/>
                <w:kern w:val="0"/>
                <w:sz w:val="20"/>
                <w:szCs w:val="20"/>
                <w:lang w:val="en-US"/>
              </w:rPr>
            </w:pPr>
            <w:r>
              <w:rPr>
                <w:rFonts w:asciiTheme="majorBidi" w:hAnsiTheme="majorBidi" w:eastAsiaTheme="minorEastAsia" w:cstheme="majorBidi"/>
                <w:bCs/>
                <w:color w:val="000000"/>
                <w:kern w:val="0"/>
                <w:sz w:val="20"/>
                <w:szCs w:val="20"/>
              </w:rPr>
              <w:t>文本写作：根据不同传播渠道的规范要求，具备基本的文本写作能力。</w:t>
            </w:r>
          </w:p>
        </w:tc>
        <w:tc>
          <w:tcPr>
            <w:tcW w:w="1887" w:type="dxa"/>
            <w:shd w:val="clear" w:color="auto" w:fill="auto"/>
          </w:tcPr>
          <w:p>
            <w:pPr>
              <w:snapToGrid w:val="0"/>
              <w:spacing w:line="288" w:lineRule="auto"/>
              <w:jc w:val="left"/>
              <w:rPr>
                <w:rFonts w:hint="eastAsia" w:ascii="宋体" w:hAnsi="宋体" w:eastAsia="宋体" w:cs="宋体"/>
                <w:sz w:val="21"/>
                <w:szCs w:val="21"/>
                <w:lang w:val="en-US" w:eastAsia="zh-CN"/>
              </w:rPr>
            </w:pPr>
            <w:r>
              <w:rPr>
                <w:rFonts w:hint="eastAsia" w:ascii="宋体" w:hAnsi="宋体" w:cs="宋体"/>
                <w:sz w:val="21"/>
                <w:szCs w:val="21"/>
                <w:lang w:val="en-US" w:eastAsia="zh-CN"/>
              </w:rPr>
              <w:t>布置思考题，让学生回家在查阅资料的基础上进行写作。</w:t>
            </w:r>
          </w:p>
        </w:tc>
        <w:tc>
          <w:tcPr>
            <w:tcW w:w="1588" w:type="dxa"/>
            <w:shd w:val="clear" w:color="auto" w:fill="auto"/>
          </w:tcPr>
          <w:p>
            <w:pPr>
              <w:snapToGrid w:val="0"/>
              <w:spacing w:line="288" w:lineRule="auto"/>
              <w:jc w:val="left"/>
              <w:rPr>
                <w:rFonts w:hint="eastAsia" w:ascii="宋体" w:hAnsi="宋体" w:eastAsia="宋体" w:cs="宋体"/>
                <w:sz w:val="21"/>
                <w:szCs w:val="21"/>
                <w:lang w:val="en-US" w:eastAsia="zh-CN"/>
              </w:rPr>
            </w:pPr>
            <w:r>
              <w:rPr>
                <w:rFonts w:hint="eastAsia" w:ascii="宋体" w:hAnsi="宋体" w:cs="宋体"/>
                <w:sz w:val="21"/>
                <w:szCs w:val="21"/>
                <w:lang w:val="en-US" w:eastAsia="zh-CN"/>
              </w:rPr>
              <w:t>课堂交流，教师点评。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1" w:hRule="atLeast"/>
        </w:trPr>
        <w:tc>
          <w:tcPr>
            <w:tcW w:w="535" w:type="dxa"/>
            <w:shd w:val="clear" w:color="auto" w:fill="auto"/>
          </w:tcPr>
          <w:p>
            <w:pP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4</w:t>
            </w:r>
          </w:p>
        </w:tc>
        <w:tc>
          <w:tcPr>
            <w:tcW w:w="1175" w:type="dxa"/>
            <w:shd w:val="clear" w:color="auto" w:fill="auto"/>
          </w:tcPr>
          <w:p>
            <w:pP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LO81</w:t>
            </w:r>
          </w:p>
        </w:tc>
        <w:tc>
          <w:tcPr>
            <w:tcW w:w="2470" w:type="dxa"/>
            <w:shd w:val="clear" w:color="auto" w:fill="auto"/>
          </w:tcPr>
          <w:p>
            <w:pPr>
              <w:rPr>
                <w:rFonts w:asciiTheme="majorBidi" w:hAnsiTheme="majorBidi" w:eastAsiaTheme="minorEastAsia" w:cstheme="majorBidi"/>
                <w:bCs/>
                <w:color w:val="000000"/>
                <w:kern w:val="0"/>
                <w:sz w:val="20"/>
                <w:szCs w:val="20"/>
              </w:rPr>
            </w:pPr>
            <w:r>
              <w:rPr>
                <w:rFonts w:asciiTheme="majorBidi" w:hAnsiTheme="majorBidi" w:eastAsiaTheme="minorEastAsia" w:cstheme="majorBidi"/>
                <w:color w:val="000000"/>
                <w:kern w:val="0"/>
                <w:sz w:val="20"/>
                <w:szCs w:val="20"/>
              </w:rPr>
              <w:t>具有基本的外语表达沟通能力与跨文化理解能力，有国际竞争与合作的意识。</w:t>
            </w:r>
          </w:p>
        </w:tc>
        <w:tc>
          <w:tcPr>
            <w:tcW w:w="1887" w:type="dxa"/>
            <w:shd w:val="clear" w:color="auto" w:fill="auto"/>
          </w:tcPr>
          <w:p>
            <w:pPr>
              <w:snapToGrid w:val="0"/>
              <w:spacing w:line="288" w:lineRule="auto"/>
              <w:jc w:val="left"/>
              <w:rPr>
                <w:rFonts w:hint="eastAsia" w:ascii="宋体" w:hAnsi="宋体" w:cs="宋体"/>
                <w:sz w:val="21"/>
                <w:szCs w:val="21"/>
                <w:lang w:val="en-US" w:eastAsia="zh-CN"/>
              </w:rPr>
            </w:pPr>
            <w:r>
              <w:rPr>
                <w:rFonts w:hint="eastAsia" w:ascii="宋体" w:hAnsi="宋体" w:cs="宋体"/>
                <w:sz w:val="21"/>
                <w:szCs w:val="21"/>
                <w:lang w:val="en-US" w:eastAsia="zh-CN"/>
              </w:rPr>
              <w:t>在课堂测验和期末考试卷面中引入材料分析题，让学生比较西方理论在中国国情下的应用。</w:t>
            </w:r>
          </w:p>
        </w:tc>
        <w:tc>
          <w:tcPr>
            <w:tcW w:w="1588" w:type="dxa"/>
            <w:shd w:val="clear" w:color="auto" w:fill="auto"/>
          </w:tcPr>
          <w:p>
            <w:pPr>
              <w:snapToGrid w:val="0"/>
              <w:spacing w:line="288" w:lineRule="auto"/>
              <w:jc w:val="left"/>
              <w:rPr>
                <w:rFonts w:hint="eastAsia" w:ascii="宋体" w:hAnsi="宋体" w:cs="宋体"/>
                <w:sz w:val="21"/>
                <w:szCs w:val="21"/>
                <w:lang w:val="en-US" w:eastAsia="zh-CN"/>
              </w:rPr>
            </w:pPr>
            <w:r>
              <w:rPr>
                <w:rFonts w:hint="eastAsia" w:ascii="宋体" w:hAnsi="宋体" w:cs="宋体"/>
                <w:sz w:val="21"/>
                <w:szCs w:val="21"/>
                <w:lang w:val="en-US" w:eastAsia="zh-CN"/>
              </w:rPr>
              <w:t>通过卷面评分来评价。</w:t>
            </w:r>
          </w:p>
        </w:tc>
      </w:tr>
    </w:tbl>
    <w:p>
      <w:pPr>
        <w:snapToGrid w:val="0"/>
        <w:spacing w:line="288" w:lineRule="auto"/>
        <w:ind w:left="420" w:leftChars="200"/>
        <w:rPr>
          <w:rFonts w:ascii="黑体" w:hAnsi="宋体" w:eastAsia="黑体"/>
          <w:sz w:val="24"/>
        </w:rPr>
      </w:pPr>
    </w:p>
    <w:p>
      <w:pPr>
        <w:snapToGrid w:val="0"/>
        <w:spacing w:line="288" w:lineRule="auto"/>
        <w:ind w:left="420" w:leftChars="200"/>
        <w:rPr>
          <w:rFonts w:ascii="黑体" w:hAnsi="宋体" w:eastAsia="黑体"/>
          <w:sz w:val="24"/>
        </w:rPr>
      </w:pPr>
    </w:p>
    <w:p>
      <w:pPr>
        <w:snapToGrid w:val="0"/>
        <w:spacing w:line="288" w:lineRule="auto"/>
        <w:ind w:left="420" w:leftChars="200"/>
        <w:rPr>
          <w:rFonts w:ascii="黑体" w:hAnsi="宋体" w:eastAsia="黑体"/>
          <w:sz w:val="24"/>
        </w:rPr>
      </w:pPr>
    </w:p>
    <w:p>
      <w:pPr>
        <w:snapToGrid w:val="0"/>
        <w:spacing w:line="288" w:lineRule="auto"/>
        <w:ind w:left="420" w:leftChars="200"/>
        <w:rPr>
          <w:rFonts w:ascii="黑体" w:hAnsi="宋体" w:eastAsia="黑体"/>
          <w:sz w:val="24"/>
        </w:rPr>
      </w:pPr>
    </w:p>
    <w:p>
      <w:pPr>
        <w:snapToGrid w:val="0"/>
        <w:spacing w:line="288" w:lineRule="auto"/>
        <w:ind w:left="420" w:leftChars="200"/>
        <w:rPr>
          <w:rFonts w:ascii="黑体" w:hAnsi="宋体" w:eastAsia="黑体"/>
          <w:sz w:val="24"/>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highlight w:val="yellow"/>
        </w:rPr>
        <w:t>六、</w:t>
      </w:r>
      <w:r>
        <w:rPr>
          <w:rFonts w:ascii="黑体" w:hAnsi="宋体" w:eastAsia="黑体"/>
          <w:sz w:val="24"/>
          <w:highlight w:val="yellow"/>
        </w:rPr>
        <w:t>课程内容（必填项）</w:t>
      </w:r>
    </w:p>
    <w:p>
      <w:pPr>
        <w:snapToGrid w:val="0"/>
        <w:spacing w:line="288" w:lineRule="auto"/>
        <w:ind w:firstLine="400" w:firstLineChars="200"/>
        <w:rPr>
          <w:rFonts w:hint="eastAsia" w:ascii="宋体" w:hAnsi="宋体"/>
          <w:b/>
          <w:bCs/>
          <w:sz w:val="20"/>
          <w:szCs w:val="20"/>
          <w:lang w:eastAsia="zh-CN"/>
        </w:rPr>
      </w:pPr>
      <w:r>
        <w:rPr>
          <w:bCs/>
          <w:sz w:val="20"/>
          <w:szCs w:val="20"/>
        </w:rPr>
        <w:t>此处</w:t>
      </w:r>
      <w:r>
        <w:rPr>
          <w:rFonts w:hint="eastAsia" w:ascii="宋体" w:hAnsi="宋体"/>
          <w:sz w:val="20"/>
          <w:szCs w:val="20"/>
          <w:highlight w:val="yellow"/>
        </w:rPr>
        <w:t>分单元</w:t>
      </w:r>
      <w:r>
        <w:rPr>
          <w:rFonts w:hint="eastAsia"/>
          <w:bCs/>
          <w:sz w:val="20"/>
          <w:szCs w:val="20"/>
        </w:rPr>
        <w:t>列出教学的知识点和能力要求。知识点</w:t>
      </w:r>
      <w:r>
        <w:rPr>
          <w:rFonts w:ascii="宋体" w:hAnsi="宋体"/>
          <w:sz w:val="20"/>
          <w:szCs w:val="20"/>
        </w:rPr>
        <w:t>用</w:t>
      </w:r>
      <w:r>
        <w:rPr>
          <w:rFonts w:hint="eastAsia" w:ascii="宋体" w:hAnsi="宋体"/>
          <w:sz w:val="20"/>
          <w:szCs w:val="20"/>
        </w:rPr>
        <w:t>布鲁姆认知能力的</w:t>
      </w:r>
      <w:r>
        <w:rPr>
          <w:rFonts w:hint="eastAsia" w:ascii="宋体" w:hAnsi="宋体"/>
          <w:bCs/>
          <w:sz w:val="20"/>
          <w:szCs w:val="20"/>
        </w:rPr>
        <w:t>6</w:t>
      </w:r>
      <w:r>
        <w:rPr>
          <w:rFonts w:hint="eastAsia" w:ascii="宋体" w:hAnsi="宋体"/>
          <w:sz w:val="20"/>
          <w:szCs w:val="20"/>
        </w:rPr>
        <w:t xml:space="preserve">种层次： </w:t>
      </w:r>
      <w:r>
        <w:rPr>
          <w:rFonts w:hint="eastAsia" w:ascii="宋体" w:hAnsi="宋体"/>
          <w:sz w:val="20"/>
          <w:szCs w:val="20"/>
          <w:highlight w:val="yellow"/>
        </w:rPr>
        <w:t>(“</w:t>
      </w:r>
      <w:r>
        <w:rPr>
          <w:rFonts w:hint="eastAsia" w:ascii="宋体" w:hAnsi="宋体"/>
          <w:b/>
          <w:bCs/>
          <w:sz w:val="20"/>
          <w:szCs w:val="20"/>
          <w:highlight w:val="yellow"/>
        </w:rPr>
        <w:t>知道”、“理解”、“运用”、“分析”、“综合”、“评价”)</w:t>
      </w:r>
      <w:r>
        <w:rPr>
          <w:rFonts w:hint="eastAsia" w:ascii="宋体" w:hAnsi="宋体"/>
          <w:bCs/>
          <w:sz w:val="20"/>
          <w:szCs w:val="20"/>
        </w:rPr>
        <w:t>来</w:t>
      </w:r>
      <w:r>
        <w:rPr>
          <w:rFonts w:ascii="宋体" w:hAnsi="宋体"/>
          <w:sz w:val="20"/>
          <w:szCs w:val="20"/>
        </w:rPr>
        <w:t>表</w:t>
      </w:r>
      <w:r>
        <w:rPr>
          <w:rFonts w:hint="eastAsia" w:ascii="宋体" w:hAnsi="宋体"/>
          <w:sz w:val="20"/>
          <w:szCs w:val="20"/>
        </w:rPr>
        <w:t>达对学生学习要求上的差异</w:t>
      </w:r>
      <w:r>
        <w:rPr>
          <w:rFonts w:ascii="宋体" w:hAnsi="宋体"/>
          <w:sz w:val="20"/>
          <w:szCs w:val="20"/>
        </w:rPr>
        <w:t>。</w:t>
      </w:r>
      <w:r>
        <w:rPr>
          <w:rFonts w:hint="eastAsia" w:ascii="宋体" w:hAnsi="宋体"/>
          <w:sz w:val="20"/>
          <w:szCs w:val="20"/>
        </w:rPr>
        <w:t>能力要求必须选用合适的行为动词来表达。用文字说明教学的难点所在</w:t>
      </w:r>
      <w:r>
        <w:rPr>
          <w:rFonts w:hint="eastAsia" w:ascii="宋体" w:hAnsi="宋体"/>
          <w:sz w:val="20"/>
          <w:szCs w:val="20"/>
          <w:lang w:eastAsia="zh-CN"/>
        </w:rPr>
        <w:t>，</w:t>
      </w:r>
      <w:r>
        <w:rPr>
          <w:rFonts w:hint="eastAsia" w:ascii="宋体" w:hAnsi="宋体"/>
          <w:b/>
          <w:bCs/>
          <w:sz w:val="20"/>
          <w:szCs w:val="20"/>
          <w:lang w:eastAsia="zh-CN"/>
        </w:rPr>
        <w:t>并标明每个单元的理论课时数和实践课时数。</w:t>
      </w:r>
    </w:p>
    <w:p>
      <w:pPr>
        <w:snapToGrid w:val="0"/>
        <w:spacing w:line="288" w:lineRule="auto"/>
        <w:ind w:firstLine="402" w:firstLineChars="200"/>
        <w:rPr>
          <w:rFonts w:hint="eastAsia" w:ascii="宋体" w:hAnsi="宋体"/>
          <w:b/>
          <w:bCs/>
          <w:sz w:val="20"/>
          <w:szCs w:val="20"/>
          <w:lang w:eastAsia="zh-CN"/>
        </w:rPr>
      </w:pPr>
    </w:p>
    <w:p>
      <w:pPr>
        <w:widowControl/>
        <w:snapToGrid w:val="0"/>
        <w:spacing w:before="156" w:beforeLines="50" w:after="156" w:afterLines="50"/>
        <w:ind w:firstLine="300" w:firstLineChars="150"/>
        <w:jc w:val="left"/>
        <w:rPr>
          <w:rFonts w:hint="eastAsia" w:ascii="宋体" w:hAnsi="宋体"/>
          <w:sz w:val="20"/>
          <w:szCs w:val="20"/>
        </w:rPr>
      </w:pPr>
      <w:r>
        <w:rPr>
          <w:rFonts w:hint="eastAsia" w:ascii="宋体" w:hAnsi="宋体"/>
          <w:sz w:val="20"/>
          <w:szCs w:val="20"/>
        </w:rPr>
        <w:t>绪论  传播学是什么</w:t>
      </w:r>
    </w:p>
    <w:p>
      <w:pPr>
        <w:widowControl/>
        <w:snapToGrid w:val="0"/>
        <w:spacing w:before="156" w:beforeLines="50" w:after="156" w:afterLines="50"/>
        <w:ind w:firstLine="300" w:firstLineChars="150"/>
        <w:jc w:val="left"/>
        <w:rPr>
          <w:rFonts w:hint="eastAsia" w:ascii="宋体" w:hAnsi="宋体"/>
          <w:sz w:val="20"/>
          <w:szCs w:val="20"/>
        </w:rPr>
      </w:pPr>
      <w:r>
        <w:rPr>
          <w:rFonts w:hint="eastAsia" w:ascii="宋体" w:hAnsi="宋体"/>
          <w:sz w:val="20"/>
          <w:szCs w:val="20"/>
        </w:rPr>
        <w:t>知识点：通过现实生活中的案例让学生了解“传播是我们生活中的普遍现象”，导入传播的三种定义：共享说、劝服说、刺激说。</w:t>
      </w:r>
    </w:p>
    <w:p>
      <w:pPr>
        <w:widowControl/>
        <w:snapToGrid w:val="0"/>
        <w:spacing w:before="156" w:beforeLines="50" w:after="156" w:afterLines="50"/>
        <w:ind w:firstLine="300" w:firstLineChars="150"/>
        <w:jc w:val="left"/>
        <w:rPr>
          <w:rFonts w:hint="eastAsia" w:ascii="宋体" w:hAnsi="宋体" w:eastAsia="宋体"/>
          <w:sz w:val="20"/>
          <w:szCs w:val="20"/>
          <w:lang w:val="en-US" w:eastAsia="zh-CN"/>
        </w:rPr>
      </w:pPr>
      <w:r>
        <w:rPr>
          <w:rFonts w:hint="eastAsia" w:ascii="宋体" w:hAnsi="宋体"/>
          <w:sz w:val="20"/>
          <w:szCs w:val="20"/>
          <w:lang w:val="en-US" w:eastAsia="zh-CN"/>
        </w:rPr>
        <w:t>难点：传播的概念</w:t>
      </w:r>
    </w:p>
    <w:p>
      <w:pPr>
        <w:widowControl/>
        <w:snapToGrid w:val="0"/>
        <w:spacing w:before="156" w:beforeLines="50" w:after="156" w:afterLines="50"/>
        <w:ind w:firstLine="300" w:firstLineChars="150"/>
        <w:jc w:val="left"/>
        <w:rPr>
          <w:rFonts w:hint="eastAsia" w:ascii="宋体" w:hAnsi="宋体"/>
          <w:sz w:val="20"/>
          <w:szCs w:val="20"/>
        </w:rPr>
      </w:pPr>
      <w:r>
        <w:rPr>
          <w:rFonts w:hint="eastAsia" w:ascii="宋体" w:hAnsi="宋体"/>
          <w:sz w:val="20"/>
          <w:szCs w:val="20"/>
        </w:rPr>
        <w:t>第一</w:t>
      </w:r>
      <w:r>
        <w:rPr>
          <w:rFonts w:hint="eastAsia" w:ascii="宋体" w:hAnsi="宋体"/>
          <w:sz w:val="20"/>
          <w:szCs w:val="20"/>
          <w:lang w:val="en-US" w:eastAsia="zh-CN"/>
        </w:rPr>
        <w:t>单元</w:t>
      </w:r>
      <w:r>
        <w:rPr>
          <w:rFonts w:hint="eastAsia" w:ascii="宋体" w:hAnsi="宋体"/>
          <w:sz w:val="20"/>
          <w:szCs w:val="20"/>
        </w:rPr>
        <w:t xml:space="preserve">  传播的基本概念</w:t>
      </w:r>
    </w:p>
    <w:p>
      <w:pPr>
        <w:widowControl/>
        <w:snapToGrid w:val="0"/>
        <w:spacing w:before="156" w:beforeLines="50" w:after="156" w:afterLines="50"/>
        <w:ind w:firstLine="300" w:firstLineChars="150"/>
        <w:jc w:val="left"/>
        <w:rPr>
          <w:rFonts w:hint="eastAsia" w:ascii="宋体" w:hAnsi="宋体"/>
          <w:sz w:val="20"/>
          <w:szCs w:val="20"/>
        </w:rPr>
      </w:pPr>
      <w:r>
        <w:rPr>
          <w:rFonts w:hint="eastAsia" w:ascii="宋体" w:hAnsi="宋体"/>
          <w:sz w:val="20"/>
          <w:szCs w:val="20"/>
        </w:rPr>
        <w:t>知识点：识记传播的几个基本概念，理解其含义：信息、符号、媒介；辨析近似概念如讯息、资讯、知识、媒体、传媒等。了解传播媒介发展的历史：分为口语传播、文字传播、电子传播、网络传播四个阶段。分析每个阶段最具代表性的媒介及其对社会历史发展产生的影响。</w:t>
      </w:r>
    </w:p>
    <w:p>
      <w:pPr>
        <w:widowControl/>
        <w:snapToGrid w:val="0"/>
        <w:spacing w:before="156" w:beforeLines="50" w:after="156" w:afterLines="50"/>
        <w:ind w:firstLine="300" w:firstLineChars="150"/>
        <w:jc w:val="left"/>
        <w:rPr>
          <w:rFonts w:hint="eastAsia" w:ascii="宋体" w:hAnsi="宋体"/>
          <w:sz w:val="20"/>
          <w:szCs w:val="20"/>
          <w:lang w:val="en-US" w:eastAsia="zh-CN"/>
        </w:rPr>
      </w:pPr>
      <w:r>
        <w:rPr>
          <w:rFonts w:hint="eastAsia" w:ascii="宋体" w:hAnsi="宋体"/>
          <w:sz w:val="20"/>
          <w:szCs w:val="20"/>
          <w:lang w:val="en-US" w:eastAsia="zh-CN"/>
        </w:rPr>
        <w:t>难点：理解媒介技术的发展对社会的意义和影响。</w:t>
      </w:r>
    </w:p>
    <w:p>
      <w:pPr>
        <w:widowControl/>
        <w:snapToGrid w:val="0"/>
        <w:spacing w:before="156" w:beforeLines="50" w:after="156" w:afterLines="50"/>
        <w:ind w:firstLine="300" w:firstLineChars="150"/>
        <w:jc w:val="left"/>
        <w:rPr>
          <w:rFonts w:hint="eastAsia" w:ascii="宋体" w:hAnsi="宋体"/>
          <w:sz w:val="20"/>
          <w:szCs w:val="20"/>
          <w:lang w:val="en-US" w:eastAsia="zh-CN"/>
        </w:rPr>
      </w:pPr>
    </w:p>
    <w:p>
      <w:pPr>
        <w:widowControl/>
        <w:snapToGrid w:val="0"/>
        <w:spacing w:before="156" w:beforeLines="50" w:after="156" w:afterLines="50"/>
        <w:ind w:firstLine="300" w:firstLineChars="150"/>
        <w:jc w:val="left"/>
        <w:rPr>
          <w:rFonts w:hint="eastAsia" w:ascii="宋体" w:hAnsi="宋体"/>
          <w:sz w:val="20"/>
          <w:szCs w:val="20"/>
        </w:rPr>
      </w:pPr>
      <w:r>
        <w:rPr>
          <w:rFonts w:hint="eastAsia" w:ascii="宋体" w:hAnsi="宋体"/>
          <w:sz w:val="20"/>
          <w:szCs w:val="20"/>
        </w:rPr>
        <w:t>第二</w:t>
      </w:r>
      <w:r>
        <w:rPr>
          <w:rFonts w:hint="eastAsia" w:ascii="宋体" w:hAnsi="宋体"/>
          <w:sz w:val="20"/>
          <w:szCs w:val="20"/>
          <w:lang w:val="en-US" w:eastAsia="zh-CN"/>
        </w:rPr>
        <w:t>单元</w:t>
      </w:r>
      <w:r>
        <w:rPr>
          <w:rFonts w:hint="eastAsia" w:ascii="宋体" w:hAnsi="宋体"/>
          <w:sz w:val="20"/>
          <w:szCs w:val="20"/>
        </w:rPr>
        <w:t xml:space="preserve">  传播之学</w:t>
      </w:r>
    </w:p>
    <w:p>
      <w:pPr>
        <w:widowControl/>
        <w:snapToGrid w:val="0"/>
        <w:spacing w:before="156" w:beforeLines="50" w:after="156" w:afterLines="50"/>
        <w:ind w:firstLine="300" w:firstLineChars="150"/>
        <w:jc w:val="left"/>
        <w:rPr>
          <w:rFonts w:hint="eastAsia" w:ascii="宋体" w:hAnsi="宋体"/>
          <w:sz w:val="20"/>
          <w:szCs w:val="20"/>
        </w:rPr>
      </w:pPr>
      <w:r>
        <w:rPr>
          <w:rFonts w:hint="eastAsia" w:ascii="宋体" w:hAnsi="宋体"/>
          <w:sz w:val="20"/>
          <w:szCs w:val="20"/>
        </w:rPr>
        <w:t>知识点：</w:t>
      </w:r>
    </w:p>
    <w:p>
      <w:pPr>
        <w:widowControl/>
        <w:snapToGrid w:val="0"/>
        <w:spacing w:before="156" w:beforeLines="50" w:after="156" w:afterLines="50"/>
        <w:ind w:firstLine="300" w:firstLineChars="150"/>
        <w:jc w:val="left"/>
        <w:rPr>
          <w:rFonts w:hint="eastAsia" w:ascii="宋体" w:hAnsi="宋体"/>
          <w:sz w:val="20"/>
          <w:szCs w:val="20"/>
        </w:rPr>
      </w:pPr>
      <w:r>
        <w:rPr>
          <w:rFonts w:hint="eastAsia" w:ascii="宋体" w:hAnsi="宋体"/>
          <w:sz w:val="20"/>
          <w:szCs w:val="20"/>
        </w:rPr>
        <w:t>1、了解传播学诞生的过程及历史背景，重点介绍威尔伯·施拉姆在其中的贡献。</w:t>
      </w:r>
    </w:p>
    <w:p>
      <w:pPr>
        <w:widowControl/>
        <w:snapToGrid w:val="0"/>
        <w:spacing w:before="156" w:beforeLines="50" w:after="156" w:afterLines="50"/>
        <w:ind w:firstLine="300" w:firstLineChars="150"/>
        <w:jc w:val="left"/>
        <w:rPr>
          <w:rFonts w:hint="eastAsia" w:ascii="宋体" w:hAnsi="宋体"/>
          <w:sz w:val="20"/>
          <w:szCs w:val="20"/>
        </w:rPr>
      </w:pPr>
      <w:r>
        <w:rPr>
          <w:rFonts w:hint="eastAsia" w:ascii="宋体" w:hAnsi="宋体"/>
          <w:sz w:val="20"/>
          <w:szCs w:val="20"/>
        </w:rPr>
        <w:t>2、</w:t>
      </w:r>
      <w:r>
        <w:rPr>
          <w:rFonts w:hint="eastAsia" w:ascii="宋体" w:hAnsi="宋体"/>
          <w:sz w:val="20"/>
          <w:szCs w:val="20"/>
          <w:lang w:val="en-US" w:eastAsia="zh-CN"/>
        </w:rPr>
        <w:t>识记</w:t>
      </w:r>
      <w:r>
        <w:rPr>
          <w:rFonts w:hint="eastAsia" w:ascii="宋体" w:hAnsi="宋体"/>
          <w:sz w:val="20"/>
          <w:szCs w:val="20"/>
        </w:rPr>
        <w:t>传播学奠基人拉斯韦尔的生平及研究背景；学习拉斯韦尔的经典理论：5w模式、传播的三功能说；世界大战中的宣传技巧</w:t>
      </w:r>
    </w:p>
    <w:p>
      <w:pPr>
        <w:widowControl/>
        <w:snapToGrid w:val="0"/>
        <w:spacing w:before="156" w:beforeLines="50" w:after="156" w:afterLines="50"/>
        <w:ind w:firstLine="300" w:firstLineChars="150"/>
        <w:jc w:val="left"/>
        <w:rPr>
          <w:rFonts w:hint="eastAsia" w:ascii="宋体" w:hAnsi="宋体"/>
          <w:sz w:val="20"/>
          <w:szCs w:val="20"/>
        </w:rPr>
      </w:pPr>
      <w:r>
        <w:rPr>
          <w:rFonts w:hint="eastAsia" w:ascii="宋体" w:hAnsi="宋体"/>
          <w:sz w:val="20"/>
          <w:szCs w:val="20"/>
        </w:rPr>
        <w:t>3、</w:t>
      </w:r>
      <w:r>
        <w:rPr>
          <w:rFonts w:hint="eastAsia" w:ascii="宋体" w:hAnsi="宋体"/>
          <w:sz w:val="20"/>
          <w:szCs w:val="20"/>
          <w:lang w:val="en-US" w:eastAsia="zh-CN"/>
        </w:rPr>
        <w:t>识记</w:t>
      </w:r>
      <w:r>
        <w:rPr>
          <w:rFonts w:hint="eastAsia" w:ascii="宋体" w:hAnsi="宋体"/>
          <w:sz w:val="20"/>
          <w:szCs w:val="20"/>
        </w:rPr>
        <w:t>传播学奠基人拉扎斯菲尔德的生平及研究背景；学习拉扎斯菲尔德的经典理论：有限效果论、马林塔尔研究、伊利县研究</w:t>
      </w:r>
    </w:p>
    <w:p>
      <w:pPr>
        <w:widowControl/>
        <w:snapToGrid w:val="0"/>
        <w:spacing w:before="156" w:beforeLines="50" w:after="156" w:afterLines="50"/>
        <w:ind w:firstLine="300" w:firstLineChars="150"/>
        <w:jc w:val="left"/>
        <w:rPr>
          <w:rFonts w:hint="eastAsia" w:ascii="宋体" w:hAnsi="宋体"/>
          <w:sz w:val="20"/>
          <w:szCs w:val="20"/>
        </w:rPr>
      </w:pPr>
      <w:r>
        <w:rPr>
          <w:rFonts w:hint="eastAsia" w:ascii="宋体" w:hAnsi="宋体"/>
          <w:sz w:val="20"/>
          <w:szCs w:val="20"/>
        </w:rPr>
        <w:t>4、</w:t>
      </w:r>
      <w:r>
        <w:rPr>
          <w:rFonts w:hint="eastAsia" w:ascii="宋体" w:hAnsi="宋体"/>
          <w:sz w:val="20"/>
          <w:szCs w:val="20"/>
          <w:lang w:val="en-US" w:eastAsia="zh-CN"/>
        </w:rPr>
        <w:t>识记</w:t>
      </w:r>
      <w:r>
        <w:rPr>
          <w:rFonts w:hint="eastAsia" w:ascii="宋体" w:hAnsi="宋体"/>
          <w:sz w:val="20"/>
          <w:szCs w:val="20"/>
        </w:rPr>
        <w:t>传播学奠基人勒温的生平及研究背景；学习勒温的经典理论：群体动力学、食品习惯变化实验及把关人</w:t>
      </w:r>
    </w:p>
    <w:p>
      <w:pPr>
        <w:widowControl/>
        <w:snapToGrid w:val="0"/>
        <w:spacing w:before="156" w:beforeLines="50" w:after="156" w:afterLines="50"/>
        <w:ind w:firstLine="300" w:firstLineChars="150"/>
        <w:jc w:val="left"/>
        <w:rPr>
          <w:rFonts w:hint="eastAsia" w:ascii="宋体" w:hAnsi="宋体"/>
          <w:sz w:val="20"/>
          <w:szCs w:val="20"/>
        </w:rPr>
      </w:pPr>
      <w:r>
        <w:rPr>
          <w:rFonts w:hint="eastAsia" w:ascii="宋体" w:hAnsi="宋体"/>
          <w:sz w:val="20"/>
          <w:szCs w:val="20"/>
        </w:rPr>
        <w:t>5、</w:t>
      </w:r>
      <w:r>
        <w:rPr>
          <w:rFonts w:hint="eastAsia" w:ascii="宋体" w:hAnsi="宋体"/>
          <w:sz w:val="20"/>
          <w:szCs w:val="20"/>
          <w:lang w:val="en-US" w:eastAsia="zh-CN"/>
        </w:rPr>
        <w:t>识记</w:t>
      </w:r>
      <w:r>
        <w:rPr>
          <w:rFonts w:hint="eastAsia" w:ascii="宋体" w:hAnsi="宋体"/>
          <w:sz w:val="20"/>
          <w:szCs w:val="20"/>
        </w:rPr>
        <w:t>传播学奠基人霍夫兰的生平及研究背景；学习霍夫兰的经典理论：效果研究及军事训练影片实验</w:t>
      </w:r>
    </w:p>
    <w:p>
      <w:pPr>
        <w:widowControl/>
        <w:snapToGrid w:val="0"/>
        <w:spacing w:before="156" w:beforeLines="50" w:after="156" w:afterLines="50"/>
        <w:ind w:firstLine="300" w:firstLineChars="150"/>
        <w:jc w:val="left"/>
        <w:rPr>
          <w:rFonts w:hint="eastAsia" w:ascii="宋体" w:hAnsi="宋体"/>
          <w:sz w:val="20"/>
          <w:szCs w:val="20"/>
        </w:rPr>
      </w:pPr>
      <w:r>
        <w:rPr>
          <w:rFonts w:hint="eastAsia" w:ascii="宋体" w:hAnsi="宋体"/>
          <w:sz w:val="20"/>
          <w:szCs w:val="20"/>
          <w:lang w:val="en-US" w:eastAsia="zh-CN"/>
        </w:rPr>
        <w:t>难点：识记奠基人的经典理论</w:t>
      </w:r>
    </w:p>
    <w:p>
      <w:pPr>
        <w:widowControl/>
        <w:snapToGrid w:val="0"/>
        <w:spacing w:before="156" w:beforeLines="50" w:after="156" w:afterLines="50"/>
        <w:ind w:firstLine="300" w:firstLineChars="150"/>
        <w:jc w:val="left"/>
        <w:rPr>
          <w:rFonts w:hint="eastAsia" w:ascii="宋体" w:hAnsi="宋体"/>
          <w:sz w:val="20"/>
          <w:szCs w:val="20"/>
        </w:rPr>
      </w:pPr>
    </w:p>
    <w:p>
      <w:pPr>
        <w:widowControl/>
        <w:snapToGrid w:val="0"/>
        <w:spacing w:before="156" w:beforeLines="50" w:after="156" w:afterLines="50"/>
        <w:ind w:firstLine="300" w:firstLineChars="150"/>
        <w:jc w:val="left"/>
        <w:rPr>
          <w:rFonts w:hint="eastAsia" w:ascii="宋体" w:hAnsi="宋体"/>
          <w:sz w:val="20"/>
          <w:szCs w:val="20"/>
        </w:rPr>
      </w:pPr>
      <w:r>
        <w:rPr>
          <w:rFonts w:hint="eastAsia" w:ascii="宋体" w:hAnsi="宋体"/>
          <w:sz w:val="20"/>
          <w:szCs w:val="20"/>
        </w:rPr>
        <w:t>第三</w:t>
      </w:r>
      <w:r>
        <w:rPr>
          <w:rFonts w:hint="eastAsia" w:ascii="宋体" w:hAnsi="宋体"/>
          <w:sz w:val="20"/>
          <w:szCs w:val="20"/>
          <w:lang w:val="en-US" w:eastAsia="zh-CN"/>
        </w:rPr>
        <w:t>单元</w:t>
      </w:r>
      <w:r>
        <w:rPr>
          <w:rFonts w:hint="eastAsia" w:ascii="宋体" w:hAnsi="宋体"/>
          <w:sz w:val="20"/>
          <w:szCs w:val="20"/>
        </w:rPr>
        <w:t xml:space="preserve">  传播的功能与类型</w:t>
      </w:r>
    </w:p>
    <w:p>
      <w:pPr>
        <w:widowControl/>
        <w:snapToGrid w:val="0"/>
        <w:spacing w:before="156" w:beforeLines="50" w:after="156" w:afterLines="50"/>
        <w:ind w:firstLine="300" w:firstLineChars="150"/>
        <w:jc w:val="left"/>
        <w:rPr>
          <w:rFonts w:hint="eastAsia" w:ascii="宋体" w:hAnsi="宋体"/>
          <w:sz w:val="20"/>
          <w:szCs w:val="20"/>
        </w:rPr>
      </w:pPr>
      <w:r>
        <w:rPr>
          <w:rFonts w:hint="eastAsia" w:ascii="宋体" w:hAnsi="宋体"/>
          <w:sz w:val="20"/>
          <w:szCs w:val="20"/>
        </w:rPr>
        <w:t>知识点：</w:t>
      </w:r>
    </w:p>
    <w:p>
      <w:pPr>
        <w:widowControl/>
        <w:snapToGrid w:val="0"/>
        <w:spacing w:before="156" w:beforeLines="50" w:after="156" w:afterLines="50"/>
        <w:ind w:firstLine="300" w:firstLineChars="150"/>
        <w:jc w:val="left"/>
        <w:rPr>
          <w:rFonts w:hint="eastAsia" w:ascii="宋体" w:hAnsi="宋体"/>
          <w:sz w:val="20"/>
          <w:szCs w:val="20"/>
        </w:rPr>
      </w:pPr>
      <w:r>
        <w:rPr>
          <w:rFonts w:hint="eastAsia" w:ascii="宋体" w:hAnsi="宋体"/>
          <w:sz w:val="20"/>
          <w:szCs w:val="20"/>
        </w:rPr>
        <w:t>1、传播的正功能：了解四位心理学家皮亚杰、托尔曼、斯蒂芬森、魏斯对传播功能的定义</w:t>
      </w:r>
    </w:p>
    <w:p>
      <w:pPr>
        <w:widowControl/>
        <w:snapToGrid w:val="0"/>
        <w:spacing w:before="156" w:beforeLines="50" w:after="156" w:afterLines="50"/>
        <w:ind w:firstLine="300" w:firstLineChars="150"/>
        <w:jc w:val="left"/>
        <w:rPr>
          <w:rFonts w:hint="eastAsia" w:ascii="宋体" w:hAnsi="宋体"/>
          <w:sz w:val="20"/>
          <w:szCs w:val="20"/>
        </w:rPr>
      </w:pPr>
      <w:r>
        <w:rPr>
          <w:rFonts w:hint="eastAsia" w:ascii="宋体" w:hAnsi="宋体"/>
          <w:sz w:val="20"/>
          <w:szCs w:val="20"/>
        </w:rPr>
        <w:t>2、传播的正功能：拉斯韦尔的三功能说及赖斯的补充；施拉姆的四功能说</w:t>
      </w:r>
    </w:p>
    <w:p>
      <w:pPr>
        <w:widowControl/>
        <w:snapToGrid w:val="0"/>
        <w:spacing w:before="156" w:beforeLines="50" w:after="156" w:afterLines="50"/>
        <w:ind w:firstLine="300" w:firstLineChars="150"/>
        <w:jc w:val="left"/>
        <w:rPr>
          <w:rFonts w:hint="eastAsia" w:ascii="宋体" w:hAnsi="宋体"/>
          <w:sz w:val="20"/>
          <w:szCs w:val="20"/>
        </w:rPr>
      </w:pPr>
      <w:r>
        <w:rPr>
          <w:rFonts w:hint="eastAsia" w:ascii="宋体" w:hAnsi="宋体"/>
          <w:sz w:val="20"/>
          <w:szCs w:val="20"/>
        </w:rPr>
        <w:t>3、传播的负功能：拉扎斯菲尔德的负功能说</w:t>
      </w:r>
    </w:p>
    <w:p>
      <w:pPr>
        <w:widowControl/>
        <w:snapToGrid w:val="0"/>
        <w:spacing w:before="156" w:beforeLines="50" w:after="156" w:afterLines="50"/>
        <w:ind w:firstLine="300" w:firstLineChars="150"/>
        <w:jc w:val="left"/>
        <w:rPr>
          <w:rFonts w:hint="eastAsia" w:ascii="宋体" w:hAnsi="宋体"/>
          <w:sz w:val="20"/>
          <w:szCs w:val="20"/>
        </w:rPr>
      </w:pPr>
      <w:r>
        <w:rPr>
          <w:rFonts w:hint="eastAsia" w:ascii="宋体" w:hAnsi="宋体"/>
          <w:sz w:val="20"/>
          <w:szCs w:val="20"/>
        </w:rPr>
        <w:t>4、传播的负功能：拟态环境说</w:t>
      </w:r>
    </w:p>
    <w:p>
      <w:pPr>
        <w:widowControl/>
        <w:snapToGrid w:val="0"/>
        <w:spacing w:before="156" w:beforeLines="50" w:after="156" w:afterLines="50"/>
        <w:ind w:firstLine="300" w:firstLineChars="150"/>
        <w:jc w:val="left"/>
        <w:rPr>
          <w:rFonts w:hint="eastAsia" w:ascii="宋体" w:hAnsi="宋体"/>
          <w:sz w:val="20"/>
          <w:szCs w:val="20"/>
        </w:rPr>
      </w:pPr>
      <w:r>
        <w:rPr>
          <w:rFonts w:hint="eastAsia" w:ascii="宋体" w:hAnsi="宋体"/>
          <w:sz w:val="20"/>
          <w:szCs w:val="20"/>
        </w:rPr>
        <w:t>5、传播的负功能说：文化殖民说</w:t>
      </w:r>
    </w:p>
    <w:p>
      <w:pPr>
        <w:widowControl/>
        <w:snapToGrid w:val="0"/>
        <w:spacing w:before="156" w:beforeLines="50" w:after="156" w:afterLines="50"/>
        <w:ind w:firstLine="300" w:firstLineChars="150"/>
        <w:jc w:val="left"/>
        <w:rPr>
          <w:rFonts w:hint="eastAsia" w:ascii="宋体" w:hAnsi="宋体"/>
          <w:sz w:val="20"/>
          <w:szCs w:val="20"/>
        </w:rPr>
      </w:pPr>
      <w:r>
        <w:rPr>
          <w:rFonts w:hint="eastAsia" w:ascii="宋体" w:hAnsi="宋体"/>
          <w:sz w:val="20"/>
          <w:szCs w:val="20"/>
        </w:rPr>
        <w:t>6、传播的基本类型：熟悉传播的四大基本类型内向传播、人际传播、群体/组织传播；大众传播，了解每种传播类型的特征</w:t>
      </w:r>
    </w:p>
    <w:p>
      <w:pPr>
        <w:widowControl/>
        <w:snapToGrid w:val="0"/>
        <w:spacing w:before="156" w:beforeLines="50" w:after="156" w:afterLines="50"/>
        <w:ind w:firstLine="300" w:firstLineChars="150"/>
        <w:jc w:val="left"/>
        <w:rPr>
          <w:rFonts w:hint="eastAsia" w:ascii="宋体" w:hAnsi="宋体"/>
          <w:sz w:val="20"/>
          <w:szCs w:val="20"/>
        </w:rPr>
      </w:pPr>
    </w:p>
    <w:p>
      <w:pPr>
        <w:widowControl/>
        <w:snapToGrid w:val="0"/>
        <w:spacing w:before="156" w:beforeLines="50" w:after="156" w:afterLines="50"/>
        <w:ind w:firstLine="300" w:firstLineChars="150"/>
        <w:jc w:val="left"/>
        <w:rPr>
          <w:rFonts w:hint="eastAsia" w:ascii="宋体" w:hAnsi="宋体"/>
          <w:sz w:val="20"/>
          <w:szCs w:val="20"/>
        </w:rPr>
      </w:pPr>
      <w:r>
        <w:rPr>
          <w:rFonts w:hint="eastAsia" w:ascii="宋体" w:hAnsi="宋体"/>
          <w:sz w:val="20"/>
          <w:szCs w:val="20"/>
          <w:lang w:val="en-US" w:eastAsia="zh-CN"/>
        </w:rPr>
        <w:t>难点：运用舆论相关的知识分析当前社会热点事件中的传播现象</w:t>
      </w:r>
    </w:p>
    <w:p>
      <w:pPr>
        <w:widowControl/>
        <w:snapToGrid w:val="0"/>
        <w:spacing w:before="156" w:beforeLines="50" w:after="156" w:afterLines="50"/>
        <w:ind w:firstLine="300" w:firstLineChars="150"/>
        <w:jc w:val="left"/>
        <w:rPr>
          <w:rFonts w:hint="eastAsia" w:ascii="宋体" w:hAnsi="宋体"/>
          <w:sz w:val="20"/>
          <w:szCs w:val="20"/>
        </w:rPr>
      </w:pPr>
    </w:p>
    <w:p>
      <w:pPr>
        <w:widowControl/>
        <w:snapToGrid w:val="0"/>
        <w:spacing w:before="156" w:beforeLines="50" w:after="156" w:afterLines="50"/>
        <w:ind w:firstLine="300" w:firstLineChars="150"/>
        <w:jc w:val="left"/>
        <w:rPr>
          <w:rFonts w:hint="eastAsia" w:ascii="宋体" w:hAnsi="宋体"/>
          <w:sz w:val="20"/>
          <w:szCs w:val="20"/>
        </w:rPr>
      </w:pPr>
      <w:r>
        <w:rPr>
          <w:rFonts w:hint="eastAsia" w:ascii="宋体" w:hAnsi="宋体"/>
          <w:sz w:val="20"/>
          <w:szCs w:val="20"/>
        </w:rPr>
        <w:t>第</w:t>
      </w:r>
      <w:r>
        <w:rPr>
          <w:rFonts w:hint="eastAsia" w:ascii="宋体" w:hAnsi="宋体"/>
          <w:sz w:val="20"/>
          <w:szCs w:val="20"/>
          <w:lang w:val="en-US" w:eastAsia="zh-CN"/>
        </w:rPr>
        <w:t>四单元</w:t>
      </w:r>
      <w:r>
        <w:rPr>
          <w:rFonts w:hint="eastAsia" w:ascii="宋体" w:hAnsi="宋体"/>
          <w:sz w:val="20"/>
          <w:szCs w:val="20"/>
        </w:rPr>
        <w:t xml:space="preserve">  传播自由与社会控制</w:t>
      </w:r>
    </w:p>
    <w:p>
      <w:pPr>
        <w:widowControl/>
        <w:snapToGrid w:val="0"/>
        <w:spacing w:before="156" w:beforeLines="50" w:after="156" w:afterLines="50"/>
        <w:ind w:firstLine="300" w:firstLineChars="150"/>
        <w:jc w:val="left"/>
        <w:rPr>
          <w:rFonts w:hint="eastAsia" w:ascii="宋体" w:hAnsi="宋体"/>
          <w:sz w:val="20"/>
          <w:szCs w:val="20"/>
        </w:rPr>
      </w:pPr>
      <w:r>
        <w:rPr>
          <w:rFonts w:hint="eastAsia" w:ascii="宋体" w:hAnsi="宋体"/>
          <w:sz w:val="20"/>
          <w:szCs w:val="20"/>
        </w:rPr>
        <w:t>知识点：自由的定义及该定义的历史演变；美国式自由（讨论）；报刊的四种理论；集权主义理论（简述、柏拉图的哲学王及马基雅维利的君主论；集权主义论对其他理论的影响）；报刊自由主义理论（代表思想家洛克的自然权利说、政权民授说；弥尔顿“论出版自由”；杰弗逊的自由实践；密尔的保护少数人意见理论；自由主义论的主要观点及历史意义；自由主义的滥觞）；社会责任论（主要观点）传播的社会控制（社会控制的主要手段；布瑞德“潜网说”）</w:t>
      </w:r>
    </w:p>
    <w:p>
      <w:pPr>
        <w:widowControl/>
        <w:snapToGrid w:val="0"/>
        <w:spacing w:before="156" w:beforeLines="50" w:after="156" w:afterLines="50"/>
        <w:ind w:firstLine="300" w:firstLineChars="150"/>
        <w:jc w:val="left"/>
        <w:rPr>
          <w:rFonts w:hint="eastAsia" w:ascii="宋体" w:hAnsi="宋体" w:eastAsia="宋体"/>
          <w:sz w:val="20"/>
          <w:szCs w:val="20"/>
          <w:lang w:val="en-US" w:eastAsia="zh-CN"/>
        </w:rPr>
      </w:pPr>
      <w:r>
        <w:rPr>
          <w:rFonts w:hint="eastAsia" w:ascii="宋体" w:hAnsi="宋体"/>
          <w:sz w:val="20"/>
          <w:szCs w:val="20"/>
          <w:lang w:val="en-US" w:eastAsia="zh-CN"/>
        </w:rPr>
        <w:t>难点：理解并识记报刊的四种理论</w:t>
      </w:r>
    </w:p>
    <w:p>
      <w:pPr>
        <w:widowControl/>
        <w:snapToGrid w:val="0"/>
        <w:spacing w:before="156" w:beforeLines="50" w:after="156" w:afterLines="50"/>
        <w:ind w:firstLine="300" w:firstLineChars="150"/>
        <w:jc w:val="left"/>
        <w:rPr>
          <w:rFonts w:hint="eastAsia" w:ascii="宋体" w:hAnsi="宋体"/>
          <w:sz w:val="20"/>
          <w:szCs w:val="20"/>
        </w:rPr>
      </w:pPr>
    </w:p>
    <w:p>
      <w:pPr>
        <w:widowControl/>
        <w:snapToGrid w:val="0"/>
        <w:spacing w:before="156" w:beforeLines="50" w:after="156" w:afterLines="50"/>
        <w:ind w:firstLine="300" w:firstLineChars="150"/>
        <w:jc w:val="left"/>
        <w:rPr>
          <w:rFonts w:hint="eastAsia" w:ascii="宋体" w:hAnsi="宋体"/>
          <w:sz w:val="20"/>
          <w:szCs w:val="20"/>
        </w:rPr>
      </w:pPr>
      <w:r>
        <w:rPr>
          <w:rFonts w:hint="eastAsia" w:ascii="宋体" w:hAnsi="宋体"/>
          <w:sz w:val="20"/>
          <w:szCs w:val="20"/>
        </w:rPr>
        <w:t>第</w:t>
      </w:r>
      <w:r>
        <w:rPr>
          <w:rFonts w:hint="eastAsia" w:ascii="宋体" w:hAnsi="宋体"/>
          <w:sz w:val="20"/>
          <w:szCs w:val="20"/>
          <w:lang w:val="en-US" w:eastAsia="zh-CN"/>
        </w:rPr>
        <w:t>五单元</w:t>
      </w:r>
      <w:r>
        <w:rPr>
          <w:rFonts w:hint="eastAsia" w:ascii="宋体" w:hAnsi="宋体"/>
          <w:sz w:val="20"/>
          <w:szCs w:val="20"/>
        </w:rPr>
        <w:t>：传播过程及传播模式</w:t>
      </w:r>
    </w:p>
    <w:p>
      <w:pPr>
        <w:widowControl/>
        <w:snapToGrid w:val="0"/>
        <w:spacing w:before="156" w:beforeLines="50" w:after="156" w:afterLines="50"/>
        <w:ind w:firstLine="300" w:firstLineChars="150"/>
        <w:jc w:val="left"/>
        <w:rPr>
          <w:rFonts w:hint="eastAsia" w:ascii="宋体" w:hAnsi="宋体"/>
          <w:sz w:val="20"/>
          <w:szCs w:val="20"/>
        </w:rPr>
      </w:pPr>
      <w:r>
        <w:rPr>
          <w:rFonts w:hint="eastAsia" w:ascii="宋体" w:hAnsi="宋体"/>
          <w:sz w:val="20"/>
          <w:szCs w:val="20"/>
        </w:rPr>
        <w:t>知识点：</w:t>
      </w:r>
    </w:p>
    <w:p>
      <w:pPr>
        <w:widowControl/>
        <w:snapToGrid w:val="0"/>
        <w:spacing w:before="156" w:beforeLines="50" w:after="156" w:afterLines="50"/>
        <w:ind w:firstLine="300" w:firstLineChars="150"/>
        <w:jc w:val="left"/>
        <w:rPr>
          <w:rFonts w:hint="eastAsia" w:ascii="宋体" w:hAnsi="宋体"/>
          <w:sz w:val="20"/>
          <w:szCs w:val="20"/>
        </w:rPr>
      </w:pPr>
      <w:r>
        <w:rPr>
          <w:rFonts w:hint="eastAsia" w:ascii="宋体" w:hAnsi="宋体"/>
          <w:sz w:val="20"/>
          <w:szCs w:val="20"/>
        </w:rPr>
        <w:t>1、熟记传播的四要素：传者、受者、媒介、内容</w:t>
      </w:r>
    </w:p>
    <w:p>
      <w:pPr>
        <w:widowControl/>
        <w:snapToGrid w:val="0"/>
        <w:spacing w:before="156" w:beforeLines="50" w:after="156" w:afterLines="50"/>
        <w:ind w:firstLine="300" w:firstLineChars="150"/>
        <w:jc w:val="left"/>
        <w:rPr>
          <w:rFonts w:hint="eastAsia" w:ascii="宋体" w:hAnsi="宋体"/>
          <w:sz w:val="20"/>
          <w:szCs w:val="20"/>
        </w:rPr>
      </w:pPr>
      <w:r>
        <w:rPr>
          <w:rFonts w:hint="eastAsia" w:ascii="宋体" w:hAnsi="宋体"/>
          <w:sz w:val="20"/>
          <w:szCs w:val="20"/>
        </w:rPr>
        <w:t>2、了解信息传播的三环节；反馈的定义；影响反馈的重要因素；沉默的螺旋理论</w:t>
      </w:r>
    </w:p>
    <w:p>
      <w:pPr>
        <w:widowControl/>
        <w:snapToGrid w:val="0"/>
        <w:spacing w:before="156" w:beforeLines="50" w:after="156" w:afterLines="50"/>
        <w:ind w:firstLine="300" w:firstLineChars="150"/>
        <w:jc w:val="left"/>
        <w:rPr>
          <w:rFonts w:hint="eastAsia" w:ascii="宋体" w:hAnsi="宋体"/>
          <w:sz w:val="20"/>
          <w:szCs w:val="20"/>
        </w:rPr>
      </w:pPr>
      <w:r>
        <w:rPr>
          <w:rFonts w:hint="eastAsia" w:ascii="宋体" w:hAnsi="宋体"/>
          <w:sz w:val="20"/>
          <w:szCs w:val="20"/>
        </w:rPr>
        <w:t>3、传播的模式研究及模式研究的意义；三种模式：线性模式、循环模式、社会系统模式</w:t>
      </w:r>
    </w:p>
    <w:p>
      <w:pPr>
        <w:widowControl/>
        <w:snapToGrid w:val="0"/>
        <w:spacing w:before="156" w:beforeLines="50" w:after="156" w:afterLines="50"/>
        <w:ind w:firstLine="300" w:firstLineChars="150"/>
        <w:jc w:val="left"/>
        <w:rPr>
          <w:rFonts w:hint="eastAsia" w:ascii="宋体" w:hAnsi="宋体"/>
          <w:sz w:val="20"/>
          <w:szCs w:val="20"/>
        </w:rPr>
      </w:pPr>
      <w:r>
        <w:rPr>
          <w:rFonts w:hint="eastAsia" w:ascii="宋体" w:hAnsi="宋体"/>
          <w:sz w:val="20"/>
          <w:szCs w:val="20"/>
        </w:rPr>
        <w:t>4、线性模式：掌握5W模式、香农模式、奥斯古德模式的画法，理解其意义并能阐释之。</w:t>
      </w:r>
    </w:p>
    <w:p>
      <w:pPr>
        <w:widowControl/>
        <w:snapToGrid w:val="0"/>
        <w:spacing w:before="156" w:beforeLines="50" w:after="156" w:afterLines="50"/>
        <w:ind w:firstLine="300" w:firstLineChars="150"/>
        <w:jc w:val="left"/>
        <w:rPr>
          <w:rFonts w:hint="eastAsia" w:ascii="宋体" w:hAnsi="宋体"/>
          <w:sz w:val="20"/>
          <w:szCs w:val="20"/>
        </w:rPr>
      </w:pPr>
      <w:r>
        <w:rPr>
          <w:rFonts w:hint="eastAsia" w:ascii="宋体" w:hAnsi="宋体"/>
          <w:sz w:val="20"/>
          <w:szCs w:val="20"/>
        </w:rPr>
        <w:t>5、循环模式：掌握施拉姆双向循环模式的画法，理解其意义并能阐释之。</w:t>
      </w:r>
    </w:p>
    <w:p>
      <w:pPr>
        <w:widowControl/>
        <w:snapToGrid w:val="0"/>
        <w:spacing w:before="156" w:beforeLines="50" w:after="156" w:afterLines="50"/>
        <w:ind w:firstLine="300" w:firstLineChars="150"/>
        <w:jc w:val="left"/>
        <w:rPr>
          <w:rFonts w:hint="eastAsia" w:ascii="宋体" w:hAnsi="宋体"/>
          <w:sz w:val="20"/>
          <w:szCs w:val="20"/>
        </w:rPr>
      </w:pPr>
      <w:r>
        <w:rPr>
          <w:rFonts w:hint="eastAsia" w:ascii="宋体" w:hAnsi="宋体"/>
          <w:sz w:val="20"/>
          <w:szCs w:val="20"/>
        </w:rPr>
        <w:t>6、社会系统模式；会画赖利夫妇模式；理解并能阐释马莱茨克模式及德弗勒模式</w:t>
      </w:r>
    </w:p>
    <w:p>
      <w:pPr>
        <w:widowControl/>
        <w:snapToGrid w:val="0"/>
        <w:spacing w:before="156" w:beforeLines="50" w:after="156" w:afterLines="50"/>
        <w:ind w:firstLine="300" w:firstLineChars="150"/>
        <w:jc w:val="left"/>
        <w:rPr>
          <w:rFonts w:hint="eastAsia" w:ascii="宋体" w:hAnsi="宋体" w:eastAsia="宋体"/>
          <w:sz w:val="20"/>
          <w:szCs w:val="20"/>
          <w:lang w:val="en-US" w:eastAsia="zh-CN"/>
        </w:rPr>
      </w:pPr>
      <w:r>
        <w:rPr>
          <w:rFonts w:hint="eastAsia" w:ascii="宋体" w:hAnsi="宋体"/>
          <w:sz w:val="20"/>
          <w:szCs w:val="20"/>
          <w:lang w:val="en-US" w:eastAsia="zh-CN"/>
        </w:rPr>
        <w:t>难点：识记并会画出三种模式中的经典模式</w:t>
      </w:r>
    </w:p>
    <w:p>
      <w:pPr>
        <w:widowControl/>
        <w:snapToGrid w:val="0"/>
        <w:spacing w:before="156" w:beforeLines="50" w:after="156" w:afterLines="50"/>
        <w:ind w:firstLine="300" w:firstLineChars="150"/>
        <w:jc w:val="left"/>
        <w:rPr>
          <w:rFonts w:hint="eastAsia" w:ascii="宋体" w:hAnsi="宋体"/>
          <w:sz w:val="20"/>
          <w:szCs w:val="20"/>
        </w:rPr>
      </w:pPr>
    </w:p>
    <w:p>
      <w:pPr>
        <w:widowControl/>
        <w:snapToGrid w:val="0"/>
        <w:spacing w:before="156" w:beforeLines="50" w:after="156" w:afterLines="50"/>
        <w:ind w:firstLine="300" w:firstLineChars="150"/>
        <w:jc w:val="left"/>
        <w:rPr>
          <w:rFonts w:hint="eastAsia" w:ascii="宋体" w:hAnsi="宋体"/>
          <w:sz w:val="20"/>
          <w:szCs w:val="20"/>
        </w:rPr>
      </w:pPr>
      <w:r>
        <w:rPr>
          <w:rFonts w:hint="eastAsia" w:ascii="宋体" w:hAnsi="宋体"/>
          <w:sz w:val="20"/>
          <w:szCs w:val="20"/>
        </w:rPr>
        <w:t>第</w:t>
      </w:r>
      <w:r>
        <w:rPr>
          <w:rFonts w:hint="eastAsia" w:ascii="宋体" w:hAnsi="宋体"/>
          <w:sz w:val="20"/>
          <w:szCs w:val="20"/>
          <w:lang w:val="en-US" w:eastAsia="zh-CN"/>
        </w:rPr>
        <w:t>六单元</w:t>
      </w:r>
      <w:r>
        <w:rPr>
          <w:rFonts w:hint="eastAsia" w:ascii="宋体" w:hAnsi="宋体"/>
          <w:sz w:val="20"/>
          <w:szCs w:val="20"/>
        </w:rPr>
        <w:t xml:space="preserve">  传播的效果研究</w:t>
      </w:r>
    </w:p>
    <w:p>
      <w:pPr>
        <w:widowControl/>
        <w:snapToGrid w:val="0"/>
        <w:spacing w:before="156" w:beforeLines="50" w:after="156" w:afterLines="50"/>
        <w:ind w:firstLine="300" w:firstLineChars="150"/>
        <w:jc w:val="left"/>
        <w:rPr>
          <w:rFonts w:hint="eastAsia" w:ascii="宋体" w:hAnsi="宋体"/>
          <w:sz w:val="20"/>
          <w:szCs w:val="20"/>
        </w:rPr>
      </w:pPr>
      <w:r>
        <w:rPr>
          <w:rFonts w:hint="eastAsia" w:ascii="宋体" w:hAnsi="宋体"/>
          <w:sz w:val="20"/>
          <w:szCs w:val="20"/>
        </w:rPr>
        <w:t>知识点：</w:t>
      </w:r>
    </w:p>
    <w:p>
      <w:pPr>
        <w:widowControl/>
        <w:snapToGrid w:val="0"/>
        <w:spacing w:before="156" w:beforeLines="50" w:after="156" w:afterLines="50"/>
        <w:ind w:firstLine="300" w:firstLineChars="150"/>
        <w:jc w:val="left"/>
        <w:rPr>
          <w:rFonts w:hint="eastAsia" w:ascii="宋体" w:hAnsi="宋体"/>
          <w:sz w:val="20"/>
          <w:szCs w:val="20"/>
        </w:rPr>
      </w:pPr>
      <w:r>
        <w:rPr>
          <w:rFonts w:hint="eastAsia" w:ascii="宋体" w:hAnsi="宋体"/>
          <w:sz w:val="20"/>
          <w:szCs w:val="20"/>
        </w:rPr>
        <w:t>1、传播效果的定义，了解效果研究的两大学术传统：实证研究和批判理论；了解传播效果研究的发展阶段</w:t>
      </w:r>
    </w:p>
    <w:p>
      <w:pPr>
        <w:widowControl/>
        <w:snapToGrid w:val="0"/>
        <w:spacing w:before="156" w:beforeLines="50" w:after="156" w:afterLines="50"/>
        <w:ind w:firstLine="300" w:firstLineChars="150"/>
        <w:jc w:val="left"/>
        <w:rPr>
          <w:rFonts w:hint="eastAsia" w:ascii="宋体" w:hAnsi="宋体"/>
          <w:sz w:val="20"/>
          <w:szCs w:val="20"/>
        </w:rPr>
      </w:pPr>
      <w:r>
        <w:rPr>
          <w:rFonts w:hint="eastAsia" w:ascii="宋体" w:hAnsi="宋体"/>
          <w:sz w:val="20"/>
          <w:szCs w:val="20"/>
        </w:rPr>
        <w:t>2、经典效果研究：了解枪弹论、有限效果论、佩恩基金会系列研究、霍夫兰的效果研究等经典研究的背景，掌握其中的主要理论</w:t>
      </w:r>
    </w:p>
    <w:p>
      <w:pPr>
        <w:widowControl/>
        <w:snapToGrid w:val="0"/>
        <w:spacing w:before="156" w:beforeLines="50" w:after="156" w:afterLines="50"/>
        <w:ind w:firstLine="300" w:firstLineChars="150"/>
        <w:jc w:val="left"/>
        <w:rPr>
          <w:rFonts w:hint="eastAsia" w:ascii="宋体" w:hAnsi="宋体"/>
          <w:sz w:val="20"/>
          <w:szCs w:val="20"/>
        </w:rPr>
      </w:pPr>
      <w:r>
        <w:rPr>
          <w:rFonts w:hint="eastAsia" w:ascii="宋体" w:hAnsi="宋体"/>
          <w:sz w:val="20"/>
          <w:szCs w:val="20"/>
        </w:rPr>
        <w:t>3、议程设置论：通过分析报纸、电视、网络中的新闻报道，理解议程设置理论的基本概念，学会分析媒体是如何设置议程的。</w:t>
      </w:r>
    </w:p>
    <w:p>
      <w:pPr>
        <w:widowControl/>
        <w:snapToGrid w:val="0"/>
        <w:spacing w:before="156" w:beforeLines="50" w:after="156" w:afterLines="50"/>
        <w:ind w:firstLine="300" w:firstLineChars="150"/>
        <w:jc w:val="left"/>
        <w:rPr>
          <w:rFonts w:hint="eastAsia" w:ascii="宋体" w:hAnsi="宋体"/>
          <w:sz w:val="20"/>
          <w:szCs w:val="20"/>
        </w:rPr>
      </w:pPr>
    </w:p>
    <w:p>
      <w:pPr>
        <w:widowControl/>
        <w:snapToGrid w:val="0"/>
        <w:spacing w:before="156" w:beforeLines="50" w:after="156" w:afterLines="50"/>
        <w:ind w:firstLine="300" w:firstLineChars="150"/>
        <w:jc w:val="left"/>
        <w:rPr>
          <w:rFonts w:hint="eastAsia" w:ascii="宋体" w:hAnsi="宋体" w:eastAsia="宋体"/>
          <w:sz w:val="20"/>
          <w:szCs w:val="20"/>
          <w:lang w:val="en-US" w:eastAsia="zh-CN"/>
        </w:rPr>
      </w:pPr>
      <w:r>
        <w:rPr>
          <w:rFonts w:hint="eastAsia" w:ascii="宋体" w:hAnsi="宋体"/>
          <w:sz w:val="20"/>
          <w:szCs w:val="20"/>
          <w:lang w:val="en-US" w:eastAsia="zh-CN"/>
        </w:rPr>
        <w:t>难点：识记并能结合现实案例运用议程设置、沉默的螺旋等理论分析。</w:t>
      </w:r>
    </w:p>
    <w:tbl>
      <w:tblPr>
        <w:tblStyle w:val="5"/>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09" w:type="dxa"/>
            <w:shd w:val="clear" w:color="auto" w:fill="auto"/>
          </w:tcPr>
          <w:p>
            <w:pPr>
              <w:snapToGrid w:val="0"/>
              <w:spacing w:beforeLines="50" w:afterLines="50"/>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highlight w:val="yellow"/>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yellow"/>
              </w:rPr>
            </w:pPr>
            <w:r>
              <w:rPr>
                <w:rFonts w:hint="eastAsia" w:ascii="宋体" w:hAnsi="宋体"/>
                <w:bCs/>
                <w:color w:val="000000"/>
                <w:szCs w:val="20"/>
                <w:highlight w:val="yellow"/>
              </w:rPr>
              <w:t>1</w:t>
            </w:r>
          </w:p>
        </w:tc>
        <w:tc>
          <w:tcPr>
            <w:tcW w:w="5103" w:type="dxa"/>
            <w:shd w:val="clear" w:color="auto" w:fill="auto"/>
            <w:vAlign w:val="top"/>
          </w:tcPr>
          <w:p>
            <w:pPr>
              <w:snapToGrid w:val="0"/>
              <w:spacing w:beforeLines="50" w:afterLines="50"/>
              <w:jc w:val="center"/>
              <w:rPr>
                <w:rFonts w:ascii="宋体" w:hAnsi="宋体"/>
                <w:bCs/>
                <w:color w:val="000000"/>
                <w:szCs w:val="20"/>
              </w:rPr>
            </w:pPr>
            <w:r>
              <w:rPr>
                <w:rFonts w:hint="eastAsia" w:ascii="宋体" w:hAnsi="宋体"/>
                <w:bCs/>
                <w:color w:val="000000"/>
                <w:szCs w:val="20"/>
                <w:lang w:val="en-US" w:eastAsia="zh-CN"/>
              </w:rPr>
              <w:t>期末考试（闭卷）</w:t>
            </w:r>
          </w:p>
        </w:tc>
        <w:tc>
          <w:tcPr>
            <w:tcW w:w="1843" w:type="dxa"/>
            <w:shd w:val="clear" w:color="auto" w:fill="auto"/>
            <w:vAlign w:val="top"/>
          </w:tcPr>
          <w:p>
            <w:pPr>
              <w:snapToGrid w:val="0"/>
              <w:spacing w:beforeLines="50" w:afterLines="50"/>
              <w:jc w:val="center"/>
              <w:rPr>
                <w:rFonts w:ascii="宋体" w:hAnsi="宋体"/>
                <w:bCs/>
                <w:color w:val="000000"/>
                <w:szCs w:val="20"/>
              </w:rPr>
            </w:pPr>
            <w:r>
              <w:rPr>
                <w:rFonts w:hint="eastAsia" w:ascii="宋体" w:hAnsi="宋体"/>
                <w:bCs/>
                <w:color w:val="000000"/>
                <w:szCs w:val="20"/>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yellow"/>
              </w:rPr>
            </w:pPr>
            <w:r>
              <w:rPr>
                <w:rFonts w:hint="eastAsia" w:ascii="宋体" w:hAnsi="宋体"/>
                <w:bCs/>
                <w:color w:val="000000"/>
                <w:szCs w:val="20"/>
                <w:highlight w:val="yellow"/>
              </w:rPr>
              <w:t>X1</w:t>
            </w:r>
          </w:p>
        </w:tc>
        <w:tc>
          <w:tcPr>
            <w:tcW w:w="5103" w:type="dxa"/>
            <w:shd w:val="clear" w:color="auto" w:fill="auto"/>
            <w:vAlign w:val="top"/>
          </w:tcPr>
          <w:p>
            <w:pPr>
              <w:snapToGrid w:val="0"/>
              <w:spacing w:beforeLines="50" w:afterLines="50"/>
              <w:jc w:val="center"/>
              <w:rPr>
                <w:rFonts w:hint="eastAsia" w:ascii="宋体" w:hAnsi="宋体" w:eastAsia="宋体"/>
                <w:bCs/>
                <w:color w:val="000000"/>
                <w:szCs w:val="20"/>
                <w:lang w:val="en-US" w:eastAsia="zh-CN"/>
              </w:rPr>
            </w:pPr>
            <w:r>
              <w:rPr>
                <w:rFonts w:hint="eastAsia" w:ascii="宋体" w:hAnsi="宋体"/>
                <w:bCs/>
                <w:color w:val="000000"/>
                <w:szCs w:val="20"/>
                <w:lang w:val="en-US" w:eastAsia="zh-CN"/>
              </w:rPr>
              <w:t>传播演讲</w:t>
            </w:r>
          </w:p>
        </w:tc>
        <w:tc>
          <w:tcPr>
            <w:tcW w:w="1843" w:type="dxa"/>
            <w:shd w:val="clear" w:color="auto" w:fill="auto"/>
            <w:vAlign w:val="top"/>
          </w:tcPr>
          <w:p>
            <w:pPr>
              <w:snapToGrid w:val="0"/>
              <w:spacing w:beforeLines="50" w:afterLines="50"/>
              <w:jc w:val="center"/>
              <w:rPr>
                <w:rFonts w:ascii="宋体" w:hAnsi="宋体"/>
                <w:bCs/>
                <w:color w:val="000000"/>
                <w:szCs w:val="20"/>
              </w:rPr>
            </w:pPr>
            <w:r>
              <w:rPr>
                <w:rFonts w:hint="eastAsia" w:ascii="宋体" w:hAnsi="宋体"/>
                <w:bCs/>
                <w:color w:val="000000"/>
                <w:szCs w:val="2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yellow"/>
              </w:rPr>
            </w:pPr>
            <w:r>
              <w:rPr>
                <w:rFonts w:hint="eastAsia" w:ascii="宋体" w:hAnsi="宋体"/>
                <w:bCs/>
                <w:color w:val="000000"/>
                <w:szCs w:val="20"/>
                <w:highlight w:val="yellow"/>
              </w:rPr>
              <w:t>X2</w:t>
            </w:r>
          </w:p>
        </w:tc>
        <w:tc>
          <w:tcPr>
            <w:tcW w:w="5103" w:type="dxa"/>
            <w:shd w:val="clear" w:color="auto" w:fill="auto"/>
            <w:vAlign w:val="top"/>
          </w:tcPr>
          <w:p>
            <w:pPr>
              <w:snapToGrid w:val="0"/>
              <w:spacing w:beforeLines="50" w:afterLines="50"/>
              <w:jc w:val="center"/>
              <w:rPr>
                <w:rFonts w:hint="eastAsia" w:ascii="宋体" w:hAnsi="宋体" w:eastAsia="宋体"/>
                <w:bCs/>
                <w:color w:val="000000"/>
                <w:szCs w:val="20"/>
                <w:lang w:val="en-US" w:eastAsia="zh-CN"/>
              </w:rPr>
            </w:pPr>
            <w:r>
              <w:rPr>
                <w:rFonts w:hint="eastAsia" w:ascii="宋体" w:hAnsi="宋体"/>
                <w:bCs/>
                <w:color w:val="000000"/>
                <w:szCs w:val="20"/>
                <w:lang w:val="en-US" w:eastAsia="zh-CN"/>
              </w:rPr>
              <w:t>课堂练习1</w:t>
            </w:r>
          </w:p>
        </w:tc>
        <w:tc>
          <w:tcPr>
            <w:tcW w:w="1843" w:type="dxa"/>
            <w:shd w:val="clear" w:color="auto" w:fill="auto"/>
            <w:vAlign w:val="top"/>
          </w:tcPr>
          <w:p>
            <w:pPr>
              <w:snapToGrid w:val="0"/>
              <w:spacing w:beforeLines="50" w:afterLines="50"/>
              <w:jc w:val="center"/>
              <w:rPr>
                <w:rFonts w:ascii="宋体" w:hAnsi="宋体"/>
                <w:bCs/>
                <w:color w:val="000000"/>
                <w:szCs w:val="20"/>
              </w:rPr>
            </w:pPr>
            <w:r>
              <w:rPr>
                <w:rFonts w:hint="eastAsia" w:ascii="宋体" w:hAnsi="宋体"/>
                <w:bCs/>
                <w:color w:val="00000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hint="eastAsia" w:ascii="宋体" w:hAnsi="宋体" w:eastAsia="宋体"/>
                <w:bCs/>
                <w:color w:val="000000"/>
                <w:szCs w:val="20"/>
                <w:highlight w:val="yellow"/>
                <w:lang w:val="en-US" w:eastAsia="zh-CN"/>
              </w:rPr>
            </w:pPr>
            <w:r>
              <w:rPr>
                <w:rFonts w:hint="eastAsia" w:ascii="宋体" w:hAnsi="宋体"/>
                <w:bCs/>
                <w:color w:val="000000"/>
                <w:szCs w:val="20"/>
                <w:highlight w:val="yellow"/>
                <w:lang w:val="en-US" w:eastAsia="zh-CN"/>
              </w:rPr>
              <w:t>X3</w:t>
            </w:r>
          </w:p>
        </w:tc>
        <w:tc>
          <w:tcPr>
            <w:tcW w:w="5103" w:type="dxa"/>
            <w:shd w:val="clear" w:color="auto" w:fill="auto"/>
            <w:vAlign w:val="top"/>
          </w:tcPr>
          <w:p>
            <w:pPr>
              <w:snapToGrid w:val="0"/>
              <w:spacing w:beforeLines="50" w:afterLines="50"/>
              <w:jc w:val="center"/>
              <w:rPr>
                <w:rFonts w:hint="eastAsia" w:ascii="宋体" w:hAnsi="宋体"/>
                <w:bCs/>
                <w:color w:val="000000"/>
                <w:szCs w:val="20"/>
                <w:lang w:val="en-US" w:eastAsia="zh-CN"/>
              </w:rPr>
            </w:pPr>
            <w:r>
              <w:rPr>
                <w:rFonts w:hint="eastAsia" w:ascii="宋体" w:hAnsi="宋体"/>
                <w:bCs/>
                <w:color w:val="000000"/>
                <w:szCs w:val="20"/>
                <w:lang w:val="en-US" w:eastAsia="zh-CN"/>
              </w:rPr>
              <w:t>课堂练习2</w:t>
            </w:r>
          </w:p>
        </w:tc>
        <w:tc>
          <w:tcPr>
            <w:tcW w:w="1843" w:type="dxa"/>
            <w:shd w:val="clear" w:color="auto" w:fill="auto"/>
            <w:vAlign w:val="top"/>
          </w:tcPr>
          <w:p>
            <w:pPr>
              <w:snapToGrid w:val="0"/>
              <w:spacing w:beforeLines="50" w:afterLines="50"/>
              <w:jc w:val="center"/>
              <w:rPr>
                <w:rFonts w:hint="eastAsia" w:ascii="宋体" w:hAnsi="宋体"/>
                <w:bCs/>
                <w:color w:val="000000"/>
                <w:szCs w:val="20"/>
                <w:lang w:val="en-US" w:eastAsia="zh-CN"/>
              </w:rPr>
            </w:pPr>
            <w:r>
              <w:rPr>
                <w:rFonts w:hint="eastAsia" w:ascii="宋体" w:hAnsi="宋体"/>
                <w:bCs/>
                <w:color w:val="000000"/>
                <w:szCs w:val="20"/>
                <w:lang w:val="en-US" w:eastAsia="zh-CN"/>
              </w:rPr>
              <w:t>10%</w:t>
            </w:r>
          </w:p>
        </w:tc>
      </w:tr>
    </w:tbl>
    <w:p>
      <w:pPr>
        <w:snapToGrid w:val="0"/>
        <w:spacing w:line="288" w:lineRule="auto"/>
        <w:ind w:right="2520"/>
        <w:rPr>
          <w:sz w:val="20"/>
          <w:szCs w:val="20"/>
        </w:rPr>
      </w:pPr>
      <w:r>
        <w:rPr>
          <w:rFonts w:hint="eastAsia" w:ascii="黑体" w:hAnsi="宋体" w:eastAsia="黑体"/>
          <w:sz w:val="24"/>
          <w:lang w:eastAsia="zh-CN"/>
        </w:rPr>
        <w:t>、</w:t>
      </w:r>
      <w:r>
        <w:rPr>
          <w:rFonts w:hint="eastAsia" w:ascii="黑体" w:hAnsi="宋体" w:eastAsia="黑体"/>
          <w:sz w:val="24"/>
        </w:rPr>
        <w:t>评价方式与成绩</w:t>
      </w:r>
      <w:r>
        <w:rPr>
          <w:rFonts w:ascii="黑体" w:hAnsi="宋体" w:eastAsia="黑体"/>
          <w:sz w:val="24"/>
        </w:rPr>
        <w:t>（必填项）</w:t>
      </w:r>
    </w:p>
    <w:p>
      <w:pPr>
        <w:widowControl/>
        <w:spacing w:beforeLines="50" w:afterLines="50" w:line="288" w:lineRule="auto"/>
        <w:jc w:val="left"/>
        <w:rPr>
          <w:rFonts w:ascii="黑体" w:hAnsi="宋体" w:eastAsia="黑体"/>
          <w:sz w:val="24"/>
        </w:rPr>
      </w:pPr>
    </w:p>
    <w:p>
      <w:pPr>
        <w:snapToGrid w:val="0"/>
        <w:spacing w:beforeLines="50" w:line="288" w:lineRule="auto"/>
        <w:ind w:firstLine="400" w:firstLineChars="200"/>
        <w:rPr>
          <w:rFonts w:ascii="宋体" w:hAnsi="宋体"/>
          <w:sz w:val="20"/>
          <w:szCs w:val="20"/>
        </w:rPr>
      </w:pPr>
      <w:r>
        <w:rPr>
          <w:rFonts w:hint="eastAsia" w:ascii="宋体" w:hAnsi="宋体"/>
          <w:sz w:val="20"/>
          <w:szCs w:val="20"/>
        </w:rPr>
        <w:t>“</w:t>
      </w:r>
      <w:r>
        <w:rPr>
          <w:rFonts w:ascii="宋体" w:hAnsi="宋体"/>
          <w:sz w:val="20"/>
          <w:szCs w:val="20"/>
        </w:rPr>
        <w:t>1</w:t>
      </w:r>
      <w:r>
        <w:rPr>
          <w:rFonts w:hint="eastAsia" w:ascii="宋体" w:hAnsi="宋体"/>
          <w:sz w:val="20"/>
          <w:szCs w:val="20"/>
        </w:rPr>
        <w:t>”一般为总结性评价, “</w:t>
      </w:r>
      <w:r>
        <w:rPr>
          <w:rFonts w:ascii="宋体" w:hAnsi="宋体"/>
          <w:sz w:val="20"/>
          <w:szCs w:val="20"/>
        </w:rPr>
        <w:t>X</w:t>
      </w:r>
      <w:r>
        <w:rPr>
          <w:rFonts w:hint="eastAsia" w:ascii="宋体" w:hAnsi="宋体"/>
          <w:sz w:val="20"/>
          <w:szCs w:val="20"/>
        </w:rPr>
        <w:t>”为过程性评价，“</w:t>
      </w:r>
      <w:r>
        <w:rPr>
          <w:rFonts w:ascii="宋体" w:hAnsi="宋体"/>
          <w:sz w:val="20"/>
          <w:szCs w:val="20"/>
        </w:rPr>
        <w:t>X</w:t>
      </w:r>
      <w:r>
        <w:rPr>
          <w:rFonts w:hint="eastAsia" w:ascii="宋体" w:hAnsi="宋体"/>
          <w:sz w:val="20"/>
          <w:szCs w:val="20"/>
        </w:rPr>
        <w:t>”的</w:t>
      </w:r>
      <w:r>
        <w:rPr>
          <w:rFonts w:hint="eastAsia"/>
          <w:color w:val="000000"/>
          <w:sz w:val="20"/>
          <w:szCs w:val="20"/>
        </w:rPr>
        <w:t>次数一般不少于3次，无论是</w:t>
      </w:r>
      <w:r>
        <w:rPr>
          <w:rFonts w:hint="eastAsia" w:ascii="宋体" w:hAnsi="宋体"/>
          <w:sz w:val="20"/>
          <w:szCs w:val="20"/>
        </w:rPr>
        <w:t>“</w:t>
      </w:r>
      <w:r>
        <w:rPr>
          <w:rFonts w:ascii="宋体" w:hAnsi="宋体"/>
          <w:sz w:val="20"/>
          <w:szCs w:val="20"/>
        </w:rPr>
        <w:t>1</w:t>
      </w:r>
      <w:r>
        <w:rPr>
          <w:rFonts w:hint="eastAsia" w:ascii="宋体" w:hAnsi="宋体"/>
          <w:sz w:val="20"/>
          <w:szCs w:val="20"/>
        </w:rPr>
        <w:t>”、还是“</w:t>
      </w:r>
      <w:r>
        <w:rPr>
          <w:rFonts w:ascii="宋体" w:hAnsi="宋体"/>
          <w:sz w:val="20"/>
          <w:szCs w:val="20"/>
        </w:rPr>
        <w:t>X</w:t>
      </w:r>
      <w:r>
        <w:rPr>
          <w:rFonts w:hint="eastAsia" w:ascii="宋体" w:hAnsi="宋体"/>
          <w:sz w:val="20"/>
          <w:szCs w:val="20"/>
        </w:rPr>
        <w:t>”，都可以是纸笔测试，也可以是表现性评价。与能力本位相适应的课程评价方式，较少采用纸笔测试，较多采用表现性评价。</w:t>
      </w:r>
    </w:p>
    <w:p>
      <w:pPr>
        <w:snapToGrid w:val="0"/>
        <w:spacing w:before="120" w:after="120" w:line="288" w:lineRule="auto"/>
        <w:ind w:firstLine="400" w:firstLineChars="2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hint="eastAsia" w:ascii="宋体" w:hAnsi="宋体"/>
          <w:sz w:val="20"/>
          <w:szCs w:val="20"/>
        </w:rPr>
        <w:t>课堂展示、口头</w:t>
      </w:r>
      <w:r>
        <w:rPr>
          <w:rFonts w:ascii="宋体" w:hAnsi="宋体"/>
          <w:sz w:val="20"/>
          <w:szCs w:val="20"/>
        </w:rPr>
        <w:t>报告、</w:t>
      </w:r>
      <w:r>
        <w:rPr>
          <w:rFonts w:hint="eastAsia" w:ascii="宋体" w:hAnsi="宋体"/>
          <w:sz w:val="20"/>
          <w:szCs w:val="20"/>
        </w:rPr>
        <w:t>论文、日志、反思</w:t>
      </w:r>
      <w:r>
        <w:rPr>
          <w:rFonts w:ascii="宋体" w:hAnsi="宋体"/>
          <w:sz w:val="20"/>
          <w:szCs w:val="20"/>
        </w:rPr>
        <w:t>、</w:t>
      </w:r>
      <w:r>
        <w:rPr>
          <w:rFonts w:hint="eastAsia" w:ascii="宋体" w:hAnsi="宋体"/>
          <w:sz w:val="20"/>
          <w:szCs w:val="20"/>
        </w:rPr>
        <w:t>调查报告、个人项目报告、小组</w:t>
      </w:r>
      <w:r>
        <w:rPr>
          <w:rFonts w:ascii="宋体" w:hAnsi="宋体"/>
          <w:sz w:val="20"/>
          <w:szCs w:val="20"/>
        </w:rPr>
        <w:t>项目报告、</w:t>
      </w:r>
      <w:r>
        <w:rPr>
          <w:rFonts w:hint="eastAsia" w:ascii="宋体" w:hAnsi="宋体"/>
          <w:sz w:val="20"/>
          <w:szCs w:val="20"/>
        </w:rPr>
        <w:t>实验报告、读书报告、作品（选集</w:t>
      </w:r>
      <w:r>
        <w:rPr>
          <w:rFonts w:ascii="宋体" w:hAnsi="宋体"/>
          <w:sz w:val="20"/>
          <w:szCs w:val="20"/>
        </w:rPr>
        <w:t>）</w:t>
      </w:r>
      <w:r>
        <w:rPr>
          <w:rFonts w:hint="eastAsia" w:ascii="宋体" w:hAnsi="宋体"/>
          <w:sz w:val="20"/>
          <w:szCs w:val="20"/>
        </w:rPr>
        <w:t>、口试、课堂小测验、</w:t>
      </w:r>
      <w:r>
        <w:rPr>
          <w:rFonts w:ascii="宋体" w:hAnsi="宋体"/>
          <w:sz w:val="20"/>
          <w:szCs w:val="20"/>
        </w:rPr>
        <w:t>期终闭卷考、期终开卷考、</w:t>
      </w:r>
      <w:r>
        <w:rPr>
          <w:rFonts w:hint="eastAsia" w:ascii="宋体" w:hAnsi="宋体"/>
          <w:sz w:val="20"/>
          <w:szCs w:val="20"/>
        </w:rPr>
        <w:t>工作</w:t>
      </w:r>
      <w:r>
        <w:rPr>
          <w:rFonts w:ascii="宋体" w:hAnsi="宋体"/>
          <w:sz w:val="20"/>
          <w:szCs w:val="20"/>
        </w:rPr>
        <w:t>现场评估、</w:t>
      </w:r>
      <w:r>
        <w:rPr>
          <w:rFonts w:hint="eastAsia" w:ascii="宋体" w:hAnsi="宋体"/>
          <w:sz w:val="20"/>
          <w:szCs w:val="20"/>
        </w:rPr>
        <w:t>自我</w:t>
      </w:r>
      <w:r>
        <w:rPr>
          <w:rFonts w:ascii="宋体" w:hAnsi="宋体"/>
          <w:sz w:val="20"/>
          <w:szCs w:val="20"/>
        </w:rPr>
        <w:t>评估、</w:t>
      </w:r>
      <w:r>
        <w:rPr>
          <w:rFonts w:hint="eastAsia" w:ascii="宋体" w:hAnsi="宋体"/>
          <w:sz w:val="20"/>
          <w:szCs w:val="20"/>
        </w:rPr>
        <w:t>同辈</w:t>
      </w:r>
      <w:r>
        <w:rPr>
          <w:rFonts w:ascii="宋体" w:hAnsi="宋体"/>
          <w:sz w:val="20"/>
          <w:szCs w:val="20"/>
        </w:rPr>
        <w:t>评估</w:t>
      </w:r>
      <w:r>
        <w:rPr>
          <w:rFonts w:hint="eastAsia" w:ascii="宋体" w:hAnsi="宋体"/>
          <w:sz w:val="20"/>
          <w:szCs w:val="20"/>
        </w:rPr>
        <w:t>等等</w:t>
      </w:r>
      <w:r>
        <w:rPr>
          <w:rFonts w:ascii="宋体" w:hAnsi="宋体"/>
          <w:sz w:val="20"/>
          <w:szCs w:val="20"/>
        </w:rPr>
        <w:t>。</w:t>
      </w:r>
      <w:r>
        <w:rPr>
          <w:rFonts w:hint="eastAsia" w:ascii="宋体" w:hAnsi="宋体"/>
          <w:b/>
          <w:sz w:val="20"/>
          <w:szCs w:val="20"/>
          <w:highlight w:val="yellow"/>
        </w:rPr>
        <w:t>一般课外扩展阅读的检查评价应该成为“X”中的一部分。</w:t>
      </w:r>
    </w:p>
    <w:p>
      <w:pPr>
        <w:snapToGrid w:val="0"/>
        <w:spacing w:before="120" w:after="120" w:line="288" w:lineRule="auto"/>
        <w:ind w:firstLine="400" w:firstLineChars="200"/>
        <w:rPr>
          <w:rFonts w:ascii="宋体" w:hAnsi="宋体"/>
          <w:sz w:val="20"/>
          <w:szCs w:val="20"/>
          <w:highlight w:val="yellow"/>
        </w:rPr>
      </w:pPr>
      <w:r>
        <w:rPr>
          <w:rFonts w:hint="eastAsia" w:ascii="宋体" w:hAnsi="宋体"/>
          <w:sz w:val="20"/>
          <w:szCs w:val="20"/>
          <w:highlight w:val="yellow"/>
        </w:rPr>
        <w:t>同一门课程由多个教师共同授课的，由课程组共同讨论决定X的内容、次数及比例。</w:t>
      </w:r>
    </w:p>
    <w:p>
      <w:pPr>
        <w:snapToGrid w:val="0"/>
        <w:spacing w:before="120" w:after="120" w:line="288" w:lineRule="auto"/>
        <w:ind w:firstLine="400" w:firstLineChars="200"/>
        <w:rPr>
          <w:rFonts w:ascii="宋体" w:hAnsi="宋体"/>
          <w:sz w:val="20"/>
          <w:szCs w:val="20"/>
          <w:highlight w:val="yellow"/>
        </w:rPr>
      </w:pPr>
    </w:p>
    <w:p>
      <w:pPr>
        <w:snapToGrid w:val="0"/>
        <w:spacing w:before="120" w:after="120" w:line="288" w:lineRule="auto"/>
        <w:ind w:firstLine="400" w:firstLineChars="200"/>
        <w:rPr>
          <w:rFonts w:ascii="宋体" w:hAnsi="宋体"/>
          <w:sz w:val="20"/>
          <w:szCs w:val="20"/>
          <w:highlight w:val="yellow"/>
        </w:rPr>
      </w:pPr>
    </w:p>
    <w:p>
      <w:pPr>
        <w:snapToGrid w:val="0"/>
        <w:spacing w:line="288" w:lineRule="auto"/>
        <w:ind w:firstLine="840" w:firstLineChars="300"/>
        <w:rPr>
          <w:rFonts w:hint="eastAsia" w:eastAsia="宋体"/>
          <w:sz w:val="28"/>
          <w:szCs w:val="28"/>
          <w:lang w:val="en-US" w:eastAsia="zh-CN"/>
        </w:rPr>
      </w:pPr>
      <w:r>
        <w:rPr>
          <w:rFonts w:hint="eastAsia"/>
          <w:sz w:val="28"/>
          <w:szCs w:val="28"/>
        </w:rPr>
        <w:t>撰写人：</w:t>
      </w:r>
      <w:r>
        <w:rPr>
          <w:rFonts w:hint="eastAsia"/>
          <w:sz w:val="28"/>
          <w:szCs w:val="28"/>
          <w:lang w:val="en-US" w:eastAsia="zh-CN"/>
        </w:rPr>
        <w:t xml:space="preserve">       金晶           </w:t>
      </w:r>
      <w:r>
        <w:rPr>
          <w:rFonts w:hint="eastAsia"/>
          <w:sz w:val="28"/>
          <w:szCs w:val="28"/>
        </w:rPr>
        <w:t>系主任审核签名：</w:t>
      </w:r>
      <w:r>
        <w:rPr>
          <w:rFonts w:hint="eastAsia"/>
          <w:sz w:val="28"/>
          <w:szCs w:val="28"/>
          <w:lang w:val="en-US" w:eastAsia="zh-CN"/>
        </w:rPr>
        <w:t>沈慧萍</w:t>
      </w:r>
    </w:p>
    <w:p>
      <w:pPr>
        <w:snapToGrid w:val="0"/>
        <w:spacing w:line="288" w:lineRule="auto"/>
        <w:ind w:firstLine="840" w:firstLineChars="300"/>
        <w:rPr>
          <w:sz w:val="28"/>
          <w:szCs w:val="28"/>
        </w:rPr>
      </w:pPr>
      <w:r>
        <w:rPr>
          <w:rFonts w:hint="eastAsia"/>
          <w:sz w:val="28"/>
          <w:szCs w:val="28"/>
        </w:rPr>
        <w:t>审核时间：</w:t>
      </w:r>
      <w:r>
        <w:rPr>
          <w:rFonts w:hint="eastAsia"/>
          <w:sz w:val="28"/>
          <w:szCs w:val="28"/>
          <w:lang w:val="en-US" w:eastAsia="zh-CN"/>
        </w:rPr>
        <w:t xml:space="preserve">    201808</w:t>
      </w:r>
      <w:bookmarkStart w:id="1" w:name="_GoBack"/>
      <w:bookmarkEnd w:id="1"/>
      <w:r>
        <w:rPr>
          <w:rFonts w:hint="eastAsia"/>
          <w:sz w:val="28"/>
          <w:szCs w:val="28"/>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Times New Roman"/>
    <w:panose1 w:val="00000000000000000000"/>
    <w:charset w:val="00"/>
    <w:family w:val="auto"/>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1072BC"/>
    <w:rsid w:val="00256B39"/>
    <w:rsid w:val="0026033C"/>
    <w:rsid w:val="002E3721"/>
    <w:rsid w:val="00313BBA"/>
    <w:rsid w:val="0032602E"/>
    <w:rsid w:val="003367AE"/>
    <w:rsid w:val="003B1258"/>
    <w:rsid w:val="004100B0"/>
    <w:rsid w:val="005467DC"/>
    <w:rsid w:val="00553D03"/>
    <w:rsid w:val="005B2B6D"/>
    <w:rsid w:val="005B4B4E"/>
    <w:rsid w:val="00624FE1"/>
    <w:rsid w:val="007208D6"/>
    <w:rsid w:val="008B397C"/>
    <w:rsid w:val="008B47F4"/>
    <w:rsid w:val="00900019"/>
    <w:rsid w:val="0099063E"/>
    <w:rsid w:val="00A769B1"/>
    <w:rsid w:val="00AC4C45"/>
    <w:rsid w:val="00B46F21"/>
    <w:rsid w:val="00B511A5"/>
    <w:rsid w:val="00B736A7"/>
    <w:rsid w:val="00B7651F"/>
    <w:rsid w:val="00C56E09"/>
    <w:rsid w:val="00CF096B"/>
    <w:rsid w:val="00E16D30"/>
    <w:rsid w:val="00E33169"/>
    <w:rsid w:val="00E70904"/>
    <w:rsid w:val="00EF44B1"/>
    <w:rsid w:val="00F35AA0"/>
    <w:rsid w:val="024B0C39"/>
    <w:rsid w:val="0A8128A6"/>
    <w:rsid w:val="0BF32A1B"/>
    <w:rsid w:val="10BD2C22"/>
    <w:rsid w:val="14110C4F"/>
    <w:rsid w:val="22987C80"/>
    <w:rsid w:val="24192CCC"/>
    <w:rsid w:val="29B2225B"/>
    <w:rsid w:val="36AC5997"/>
    <w:rsid w:val="39A66CD4"/>
    <w:rsid w:val="3CD52CE1"/>
    <w:rsid w:val="410F2E6A"/>
    <w:rsid w:val="421242AC"/>
    <w:rsid w:val="43E3198E"/>
    <w:rsid w:val="4430136C"/>
    <w:rsid w:val="49E66383"/>
    <w:rsid w:val="4AB0382B"/>
    <w:rsid w:val="504A06C2"/>
    <w:rsid w:val="562449F8"/>
    <w:rsid w:val="56314B36"/>
    <w:rsid w:val="569868B5"/>
    <w:rsid w:val="5BC247B2"/>
    <w:rsid w:val="60724B81"/>
    <w:rsid w:val="611F6817"/>
    <w:rsid w:val="63293026"/>
    <w:rsid w:val="66CA1754"/>
    <w:rsid w:val="6F1E65D4"/>
    <w:rsid w:val="6F266C86"/>
    <w:rsid w:val="6F5042C2"/>
    <w:rsid w:val="74316312"/>
    <w:rsid w:val="7711489F"/>
    <w:rsid w:val="780F13C8"/>
    <w:rsid w:val="7B821861"/>
    <w:rsid w:val="7C3854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1563</Characters>
  <Lines>13</Lines>
  <Paragraphs>3</Paragraphs>
  <TotalTime>6</TotalTime>
  <ScaleCrop>false</ScaleCrop>
  <LinksUpToDate>false</LinksUpToDate>
  <CharactersWithSpaces>1834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111111</cp:lastModifiedBy>
  <dcterms:modified xsi:type="dcterms:W3CDTF">2018-10-10T01:18:56Z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