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05"/>
        </w:tabs>
        <w:jc w:val="center"/>
        <w:rPr>
          <w:rFonts w:ascii="仿宋_GB2312"/>
          <w:color w:val="000000"/>
          <w:sz w:val="21"/>
          <w:szCs w:val="21"/>
        </w:rPr>
      </w:pPr>
      <w:r>
        <w:rPr>
          <w:rFonts w:hint="eastAsia" w:ascii="仿宋_GB2312"/>
          <w:b/>
          <w:sz w:val="28"/>
          <w:szCs w:val="28"/>
        </w:rPr>
        <w:t>【演讲与口才】</w:t>
      </w:r>
    </w:p>
    <w:p>
      <w:pPr>
        <w:shd w:val="clear" w:color="auto" w:fill="F5F5F5"/>
        <w:jc w:val="center"/>
        <w:textAlignment w:val="top"/>
        <w:rPr>
          <w:rFonts w:ascii="仿宋_GB2312" w:hAnsi="Arial" w:cs="Arial"/>
          <w:color w:val="888888"/>
          <w:kern w:val="0"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【speech and eloquence】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课程代码：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 w:cs="宋体"/>
          <w:color w:val="000000"/>
          <w:sz w:val="22"/>
          <w:szCs w:val="22"/>
        </w:rPr>
        <w:t>2108109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课程学分：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2学分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面向专业：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全校各专业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课程性质：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综合素质选修课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b/>
          <w:bCs/>
          <w:color w:val="000000"/>
          <w:szCs w:val="21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新闻传播学院】</w:t>
      </w:r>
    </w:p>
    <w:p>
      <w:pPr>
        <w:snapToGrid w:val="0"/>
        <w:spacing w:line="288" w:lineRule="auto"/>
        <w:ind w:firstLine="394" w:firstLineChars="196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992" w:firstLineChars="496"/>
        <w:rPr>
          <w:rFonts w:ascii="宋体" w:hAnsi="宋体" w:eastAsia="宋体"/>
          <w:color w:val="000000"/>
          <w:szCs w:val="21"/>
        </w:rPr>
      </w:pPr>
      <w:r>
        <w:rPr>
          <w:rFonts w:ascii="宋体" w:hAnsi="宋体" w:eastAsia="宋体"/>
          <w:color w:val="000000"/>
          <w:sz w:val="20"/>
          <w:szCs w:val="20"/>
        </w:rPr>
        <w:t>教材【</w:t>
      </w:r>
      <w:r>
        <w:rPr>
          <w:rFonts w:hint="eastAsia" w:ascii="宋体" w:hAnsi="宋体" w:eastAsia="宋体"/>
          <w:color w:val="000000"/>
          <w:sz w:val="20"/>
          <w:szCs w:val="20"/>
        </w:rPr>
        <w:t>《演讲与口才》段秋月、董险峰，中国人民大学出版社，2015年2月版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tabs>
          <w:tab w:val="left" w:pos="532"/>
        </w:tabs>
        <w:spacing w:line="340" w:lineRule="exact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 xml:space="preserve">      </w:t>
      </w:r>
      <w:r>
        <w:rPr>
          <w:rFonts w:ascii="宋体" w:hAnsi="宋体" w:eastAsia="宋体"/>
          <w:color w:val="000000"/>
          <w:sz w:val="20"/>
          <w:szCs w:val="20"/>
        </w:rPr>
        <w:t>参考书目</w:t>
      </w:r>
      <w:r>
        <w:rPr>
          <w:rFonts w:hint="eastAsia" w:ascii="宋体" w:hAnsi="宋体" w:eastAsia="宋体"/>
          <w:color w:val="000000"/>
          <w:sz w:val="20"/>
          <w:szCs w:val="20"/>
        </w:rPr>
        <w:t>【《演讲艺术教程》武小军，高等教育出版社，2013年2月版】</w:t>
      </w:r>
    </w:p>
    <w:p>
      <w:pPr>
        <w:snapToGrid w:val="0"/>
        <w:spacing w:line="288" w:lineRule="auto"/>
        <w:ind w:left="718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 xml:space="preserve">       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《应用口才十二讲》李海涛，高等教育出版社，2016年2月版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 xml:space="preserve">       【《口才交际能力训练》刘伯奎，中国人民大学出版社，2015年2月版】</w:t>
      </w:r>
    </w:p>
    <w:p>
      <w:pPr>
        <w:snapToGrid w:val="0"/>
        <w:spacing w:line="288" w:lineRule="auto"/>
        <w:ind w:firstLine="402" w:firstLineChars="200"/>
        <w:rPr>
          <w:rFonts w:ascii="宋体" w:hAnsi="宋体" w:eastAsia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bCs/>
          <w:color w:val="000000"/>
          <w:sz w:val="20"/>
          <w:szCs w:val="20"/>
        </w:rPr>
      </w:pPr>
      <w:r>
        <w:rPr>
          <w:rFonts w:ascii="宋体" w:hAnsi="宋体" w:eastAsia="宋体"/>
          <w:bCs/>
          <w:color w:val="000000"/>
          <w:sz w:val="20"/>
          <w:szCs w:val="20"/>
        </w:rPr>
        <w:t>http://kczx.gench.edu.cn/G2S/Template/View.aspx?action=view&amp;courseType=0&amp;courseId=27412</w:t>
      </w:r>
    </w:p>
    <w:p>
      <w:pPr>
        <w:adjustRightInd w:val="0"/>
        <w:snapToGrid w:val="0"/>
        <w:spacing w:line="288" w:lineRule="auto"/>
        <w:ind w:firstLine="394" w:firstLineChars="196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</w:rPr>
        <w:t>先修课程：</w:t>
      </w:r>
      <w:r>
        <w:rPr>
          <w:rFonts w:ascii="宋体" w:hAnsi="宋体" w:eastAsia="宋体"/>
          <w:color w:val="000000"/>
          <w:sz w:val="20"/>
          <w:szCs w:val="20"/>
        </w:rPr>
        <w:t>【</w:t>
      </w:r>
      <w:r>
        <w:rPr>
          <w:rFonts w:hint="eastAsia" w:ascii="宋体" w:hAnsi="宋体" w:eastAsia="宋体"/>
          <w:color w:val="000000"/>
          <w:sz w:val="20"/>
          <w:szCs w:val="20"/>
        </w:rPr>
        <w:t>无</w:t>
      </w:r>
      <w:r>
        <w:rPr>
          <w:rFonts w:ascii="宋体" w:hAnsi="宋体" w:eastAsia="宋体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ascii="宋体" w:hAnsi="宋体" w:eastAsia="宋体"/>
          <w:color w:val="000000"/>
          <w:sz w:val="20"/>
          <w:szCs w:val="20"/>
        </w:rPr>
        <w:t>本课程</w:t>
      </w:r>
      <w:r>
        <w:rPr>
          <w:rFonts w:hint="eastAsia" w:ascii="宋体" w:hAnsi="宋体" w:eastAsia="宋体"/>
          <w:color w:val="000000"/>
          <w:sz w:val="20"/>
          <w:szCs w:val="20"/>
        </w:rPr>
        <w:t>主要</w:t>
      </w:r>
      <w:r>
        <w:rPr>
          <w:rFonts w:ascii="宋体" w:hAnsi="宋体" w:eastAsia="宋体"/>
          <w:color w:val="000000"/>
          <w:sz w:val="20"/>
          <w:szCs w:val="20"/>
        </w:rPr>
        <w:t>是</w:t>
      </w:r>
      <w:r>
        <w:rPr>
          <w:rFonts w:hint="eastAsia" w:ascii="宋体" w:hAnsi="宋体" w:eastAsia="宋体"/>
          <w:color w:val="000000"/>
          <w:sz w:val="20"/>
          <w:szCs w:val="20"/>
        </w:rPr>
        <w:t>学习和</w:t>
      </w:r>
      <w:r>
        <w:rPr>
          <w:rFonts w:ascii="宋体" w:hAnsi="宋体" w:eastAsia="宋体"/>
          <w:color w:val="000000"/>
          <w:sz w:val="20"/>
          <w:szCs w:val="20"/>
        </w:rPr>
        <w:t>掌握演讲的基本方法和技巧，掌握科学有效的思维方式，掌握演讲稿写作的基本技能，能够熟练的进行演讲，培养和提高学生的口头表达能力。课程内容主要包括演讲</w:t>
      </w:r>
      <w:r>
        <w:rPr>
          <w:rFonts w:hint="eastAsia" w:ascii="宋体" w:hAnsi="宋体" w:eastAsia="宋体"/>
          <w:color w:val="000000"/>
          <w:sz w:val="20"/>
          <w:szCs w:val="20"/>
        </w:rPr>
        <w:t>的</w:t>
      </w:r>
      <w:r>
        <w:rPr>
          <w:rFonts w:ascii="宋体" w:hAnsi="宋体" w:eastAsia="宋体"/>
          <w:color w:val="000000"/>
          <w:sz w:val="20"/>
          <w:szCs w:val="20"/>
        </w:rPr>
        <w:t>基础知识、演讲稿的写作、演讲技巧以及论辩</w:t>
      </w:r>
      <w:r>
        <w:rPr>
          <w:rFonts w:hint="eastAsia" w:ascii="宋体" w:hAnsi="宋体" w:eastAsia="宋体"/>
          <w:color w:val="000000"/>
          <w:sz w:val="20"/>
          <w:szCs w:val="20"/>
        </w:rPr>
        <w:t>的</w:t>
      </w:r>
      <w:r>
        <w:rPr>
          <w:rFonts w:ascii="宋体" w:hAnsi="宋体" w:eastAsia="宋体"/>
          <w:color w:val="000000"/>
          <w:sz w:val="20"/>
          <w:szCs w:val="20"/>
        </w:rPr>
        <w:t>基础知识、</w:t>
      </w:r>
      <w:r>
        <w:rPr>
          <w:rFonts w:hint="eastAsia" w:ascii="宋体" w:hAnsi="宋体" w:eastAsia="宋体"/>
          <w:color w:val="000000"/>
          <w:sz w:val="20"/>
          <w:szCs w:val="20"/>
        </w:rPr>
        <w:t>口才与成功的关系、面试技巧</w:t>
      </w:r>
      <w:r>
        <w:rPr>
          <w:rFonts w:ascii="宋体" w:hAnsi="宋体" w:eastAsia="宋体"/>
          <w:color w:val="000000"/>
          <w:sz w:val="20"/>
          <w:szCs w:val="20"/>
        </w:rPr>
        <w:t>等。课程教学采取理论讲授、实例分析、实践训练、</w:t>
      </w:r>
      <w:r>
        <w:rPr>
          <w:rFonts w:hint="eastAsia" w:ascii="宋体" w:hAnsi="宋体" w:eastAsia="宋体"/>
          <w:color w:val="000000"/>
          <w:sz w:val="20"/>
          <w:szCs w:val="20"/>
        </w:rPr>
        <w:t>情景模拟</w:t>
      </w:r>
      <w:r>
        <w:rPr>
          <w:rFonts w:ascii="宋体" w:hAnsi="宋体" w:eastAsia="宋体"/>
          <w:color w:val="000000"/>
          <w:sz w:val="20"/>
          <w:szCs w:val="20"/>
        </w:rPr>
        <w:t>等方式，理论联系实际，既注重培养学生对演讲与论辩活动的理性认识，又注重培养和提高学生的演讲与论辩等口头表达能力</w:t>
      </w:r>
      <w:r>
        <w:rPr>
          <w:rFonts w:hint="eastAsia" w:ascii="宋体" w:hAnsi="宋体" w:eastAsia="宋体"/>
          <w:color w:val="000000"/>
          <w:sz w:val="20"/>
          <w:szCs w:val="20"/>
        </w:rPr>
        <w:t>。通过学习，学生将在普通话、态势语言、心理素质、思维能力等方面得到训练，在朗诵、演讲和论辩等方面得到提高。</w:t>
      </w:r>
      <w:r>
        <w:rPr>
          <w:rFonts w:ascii="宋体" w:hAnsi="宋体" w:eastAsia="宋体"/>
          <w:color w:val="000000"/>
          <w:sz w:val="20"/>
          <w:szCs w:val="20"/>
        </w:rPr>
        <w:t>时代需要人才，人才需要</w:t>
      </w:r>
      <w:r>
        <w:fldChar w:fldCharType="begin"/>
      </w:r>
      <w:r>
        <w:instrText xml:space="preserve"> HYPERLINK "http://www.xuexila.com/koucai/" \t "http://www.xuexila.com/koucai/xunlian/_blank" </w:instrText>
      </w:r>
      <w:r>
        <w:fldChar w:fldCharType="separate"/>
      </w:r>
      <w:r>
        <w:rPr>
          <w:rFonts w:ascii="宋体" w:hAnsi="宋体" w:eastAsia="宋体"/>
          <w:color w:val="000000"/>
          <w:sz w:val="20"/>
          <w:szCs w:val="20"/>
        </w:rPr>
        <w:t>口才</w:t>
      </w:r>
      <w:r>
        <w:rPr>
          <w:rFonts w:ascii="宋体" w:hAnsi="宋体" w:eastAsia="宋体"/>
          <w:color w:val="000000"/>
          <w:sz w:val="20"/>
          <w:szCs w:val="20"/>
        </w:rPr>
        <w:fldChar w:fldCharType="end"/>
      </w:r>
      <w:r>
        <w:rPr>
          <w:rFonts w:ascii="宋体" w:hAnsi="宋体" w:eastAsia="宋体"/>
          <w:color w:val="000000"/>
          <w:sz w:val="20"/>
          <w:szCs w:val="20"/>
        </w:rPr>
        <w:t>，人才贵在有口才，有口才一定能成才。</w:t>
      </w:r>
      <w:r>
        <w:rPr>
          <w:rFonts w:hint="eastAsia" w:ascii="宋体" w:hAnsi="宋体" w:eastAsia="宋体"/>
          <w:color w:val="000000"/>
          <w:sz w:val="20"/>
          <w:szCs w:val="20"/>
        </w:rPr>
        <w:t>演讲是口才中的口才。无论什么专业的学生，将来从事什么职业，都需要有好的口才和演讲能力，本课程致力于培养和提高学生这方面的能力，课程教学中将设置较多的锻炼机会，从而提高学生的综合素质能力，为学生将来走上成功的人生道路打下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pacing w:line="288" w:lineRule="auto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仿宋_GB2312"/>
          <w:b/>
          <w:bCs/>
          <w:color w:val="000000"/>
          <w:sz w:val="21"/>
          <w:szCs w:val="21"/>
        </w:rPr>
        <w:t xml:space="preserve">    </w:t>
      </w:r>
      <w:r>
        <w:rPr>
          <w:rFonts w:hint="eastAsia" w:ascii="宋体" w:hAnsi="宋体" w:eastAsia="宋体"/>
          <w:color w:val="000000"/>
          <w:sz w:val="20"/>
          <w:szCs w:val="20"/>
        </w:rPr>
        <w:t>全校各专业各年级学生均可选修，但要求对演讲这门艺术形式感兴趣，希望提高自己的口语表达能力、思维逻辑能力、演讲稿的写作能力等，愿意在课堂教学中，积极参与互动，敢于在同学面前大胆发言的同学。</w:t>
      </w:r>
    </w:p>
    <w:p>
      <w:pPr>
        <w:spacing w:line="360" w:lineRule="auto"/>
        <w:ind w:firstLine="240" w:firstLineChars="1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3218"/>
        <w:gridCol w:w="170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21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写作演讲稿并演讲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自主学习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读书报告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L0511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自主学习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小组</w:t>
            </w:r>
            <w:r>
              <w:rPr>
                <w:rFonts w:ascii="宋体" w:hAnsi="宋体" w:eastAsia="宋体"/>
                <w:sz w:val="20"/>
                <w:szCs w:val="20"/>
              </w:rPr>
              <w:t>项目报告—朗诵会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LO612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自主学习</w:t>
            </w:r>
          </w:p>
        </w:tc>
        <w:tc>
          <w:tcPr>
            <w:tcW w:w="14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故事会</w:t>
            </w: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这门选修课主要学习演讲的功用、要素和特点，演讲人需要具备的素质和能力，演讲稿的写作、听众的心理了解、论辩的技能等，使学生知道语言表达技巧，理解口语交际的重要作用，运用学习和掌握的有声语言、态势语言，以及具备的良好心理素质、逻辑思维能力，能够很好地分析情境、主题、对象等，进行演讲、朗诵、论辩，提高口才，以便在未来的职业生涯中很好地应对求职面试、竞聘岗位、答辩演说、营销活动、人际交往等各种场合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rFonts w:ascii="宋体" w:hAnsi="宋体" w:eastAsia="宋体"/>
          <w:color w:val="993300"/>
          <w:sz w:val="20"/>
          <w:szCs w:val="20"/>
        </w:rPr>
      </w:pPr>
    </w:p>
    <w:p>
      <w:pPr>
        <w:widowControl/>
        <w:spacing w:beforeLines="50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tbl>
      <w:tblPr>
        <w:tblStyle w:val="5"/>
        <w:tblpPr w:leftFromText="180" w:rightFromText="180" w:vertAnchor="text" w:horzAnchor="margin" w:tblpY="7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1781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1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总评构成（1+</w:t>
            </w:r>
            <w:r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81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4245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1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X1</w:t>
            </w:r>
          </w:p>
        </w:tc>
        <w:tc>
          <w:tcPr>
            <w:tcW w:w="1781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故事会</w:t>
            </w:r>
          </w:p>
        </w:tc>
        <w:tc>
          <w:tcPr>
            <w:tcW w:w="4245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1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1781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朗诵</w:t>
            </w:r>
          </w:p>
        </w:tc>
        <w:tc>
          <w:tcPr>
            <w:tcW w:w="4245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1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X3</w:t>
            </w:r>
          </w:p>
        </w:tc>
        <w:tc>
          <w:tcPr>
            <w:tcW w:w="1781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演讲</w:t>
            </w:r>
          </w:p>
        </w:tc>
        <w:tc>
          <w:tcPr>
            <w:tcW w:w="4245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013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X4</w:t>
            </w:r>
          </w:p>
        </w:tc>
        <w:tc>
          <w:tcPr>
            <w:tcW w:w="1781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读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val="en-US" w:eastAsia="zh-CN"/>
              </w:rPr>
              <w:t>后感</w:t>
            </w:r>
          </w:p>
        </w:tc>
        <w:tc>
          <w:tcPr>
            <w:tcW w:w="4245" w:type="dxa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bCs/>
                <w:color w:val="000000"/>
                <w:sz w:val="18"/>
                <w:szCs w:val="18"/>
              </w:rPr>
              <w:t>%</w:t>
            </w:r>
          </w:p>
        </w:tc>
      </w:tr>
    </w:tbl>
    <w:p>
      <w:pPr>
        <w:snapToGrid w:val="0"/>
        <w:ind w:firstLine="300" w:firstLineChars="1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“</w:t>
      </w:r>
      <w:r>
        <w:rPr>
          <w:rFonts w:ascii="宋体" w:hAnsi="宋体" w:eastAsia="宋体"/>
          <w:sz w:val="20"/>
          <w:szCs w:val="20"/>
        </w:rPr>
        <w:t>1</w:t>
      </w:r>
      <w:r>
        <w:rPr>
          <w:rFonts w:hint="eastAsia" w:ascii="宋体" w:hAnsi="宋体" w:eastAsia="宋体"/>
          <w:sz w:val="20"/>
          <w:szCs w:val="20"/>
        </w:rPr>
        <w:t>”一般为总结性评价, “</w:t>
      </w:r>
      <w:r>
        <w:rPr>
          <w:rFonts w:ascii="宋体" w:hAnsi="宋体" w:eastAsia="宋体"/>
          <w:sz w:val="20"/>
          <w:szCs w:val="20"/>
        </w:rPr>
        <w:t>X</w:t>
      </w:r>
      <w:r>
        <w:rPr>
          <w:rFonts w:hint="eastAsia" w:ascii="宋体" w:hAnsi="宋体" w:eastAsia="宋体"/>
          <w:sz w:val="20"/>
          <w:szCs w:val="20"/>
        </w:rPr>
        <w:t>”为过程性评价，“</w:t>
      </w:r>
      <w:r>
        <w:rPr>
          <w:rFonts w:ascii="宋体" w:hAnsi="宋体" w:eastAsia="宋体"/>
          <w:sz w:val="20"/>
          <w:szCs w:val="20"/>
        </w:rPr>
        <w:t>X</w:t>
      </w:r>
      <w:r>
        <w:rPr>
          <w:rFonts w:hint="eastAsia" w:ascii="宋体" w:hAnsi="宋体" w:eastAsia="宋体"/>
          <w:sz w:val="20"/>
          <w:szCs w:val="20"/>
        </w:rPr>
        <w:t>”的</w:t>
      </w:r>
      <w:r>
        <w:rPr>
          <w:rFonts w:hint="eastAsia" w:ascii="宋体" w:hAnsi="宋体" w:eastAsia="宋体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 w:eastAsia="宋体"/>
          <w:sz w:val="20"/>
          <w:szCs w:val="20"/>
        </w:rPr>
        <w:t>“</w:t>
      </w:r>
      <w:r>
        <w:rPr>
          <w:rFonts w:ascii="宋体" w:hAnsi="宋体" w:eastAsia="宋体"/>
          <w:sz w:val="20"/>
          <w:szCs w:val="20"/>
        </w:rPr>
        <w:t>1</w:t>
      </w:r>
      <w:r>
        <w:rPr>
          <w:rFonts w:hint="eastAsia" w:ascii="宋体" w:hAnsi="宋体" w:eastAsia="宋体"/>
          <w:sz w:val="20"/>
          <w:szCs w:val="20"/>
        </w:rPr>
        <w:t>”、还是“</w:t>
      </w:r>
      <w:r>
        <w:rPr>
          <w:rFonts w:ascii="宋体" w:hAnsi="宋体" w:eastAsia="宋体"/>
          <w:sz w:val="20"/>
          <w:szCs w:val="20"/>
        </w:rPr>
        <w:t>X</w:t>
      </w:r>
      <w:r>
        <w:rPr>
          <w:rFonts w:hint="eastAsia" w:ascii="宋体" w:hAnsi="宋体" w:eastAsia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常用</w:t>
      </w:r>
      <w:r>
        <w:rPr>
          <w:rFonts w:ascii="宋体" w:hAnsi="宋体" w:eastAsia="宋体"/>
          <w:color w:val="000000"/>
          <w:sz w:val="20"/>
          <w:szCs w:val="20"/>
        </w:rPr>
        <w:t>的</w:t>
      </w:r>
      <w:r>
        <w:rPr>
          <w:rFonts w:hint="eastAsia" w:ascii="宋体" w:hAnsi="宋体" w:eastAsia="宋体"/>
          <w:color w:val="000000"/>
          <w:sz w:val="20"/>
          <w:szCs w:val="20"/>
        </w:rPr>
        <w:t>评价</w:t>
      </w:r>
      <w:r>
        <w:rPr>
          <w:rFonts w:ascii="宋体" w:hAnsi="宋体" w:eastAsia="宋体"/>
          <w:color w:val="000000"/>
          <w:sz w:val="20"/>
          <w:szCs w:val="20"/>
        </w:rPr>
        <w:t>方式</w:t>
      </w:r>
      <w:r>
        <w:rPr>
          <w:rFonts w:hint="eastAsia" w:ascii="宋体" w:hAnsi="宋体" w:eastAsia="宋体"/>
          <w:color w:val="000000"/>
          <w:sz w:val="20"/>
          <w:szCs w:val="20"/>
        </w:rPr>
        <w:t>有</w:t>
      </w:r>
      <w:r>
        <w:rPr>
          <w:rFonts w:ascii="宋体" w:hAnsi="宋体" w:eastAsia="宋体"/>
          <w:color w:val="000000"/>
          <w:sz w:val="20"/>
          <w:szCs w:val="20"/>
        </w:rPr>
        <w:t>：</w:t>
      </w:r>
      <w:r>
        <w:rPr>
          <w:rFonts w:hint="eastAsia" w:ascii="宋体" w:hAnsi="宋体" w:eastAsia="宋体"/>
          <w:sz w:val="20"/>
          <w:szCs w:val="20"/>
        </w:rPr>
        <w:t>课堂展示、口头</w:t>
      </w:r>
      <w:r>
        <w:rPr>
          <w:rFonts w:ascii="宋体" w:hAnsi="宋体" w:eastAsia="宋体"/>
          <w:sz w:val="20"/>
          <w:szCs w:val="20"/>
        </w:rPr>
        <w:t>报告、</w:t>
      </w:r>
      <w:r>
        <w:rPr>
          <w:rFonts w:hint="eastAsia" w:ascii="宋体" w:hAnsi="宋体" w:eastAsia="宋体"/>
          <w:sz w:val="20"/>
          <w:szCs w:val="20"/>
        </w:rPr>
        <w:t>论文、日志、反思</w:t>
      </w:r>
      <w:r>
        <w:rPr>
          <w:rFonts w:ascii="宋体" w:hAnsi="宋体" w:eastAsia="宋体"/>
          <w:sz w:val="20"/>
          <w:szCs w:val="20"/>
        </w:rPr>
        <w:t>、</w:t>
      </w:r>
      <w:r>
        <w:rPr>
          <w:rFonts w:hint="eastAsia" w:ascii="宋体" w:hAnsi="宋体" w:eastAsia="宋体"/>
          <w:sz w:val="20"/>
          <w:szCs w:val="20"/>
        </w:rPr>
        <w:t>调查报告、个人项目报告、小组</w:t>
      </w:r>
      <w:r>
        <w:rPr>
          <w:rFonts w:ascii="宋体" w:hAnsi="宋体" w:eastAsia="宋体"/>
          <w:sz w:val="20"/>
          <w:szCs w:val="20"/>
        </w:rPr>
        <w:t>项目报告、</w:t>
      </w:r>
      <w:r>
        <w:rPr>
          <w:rFonts w:hint="eastAsia" w:ascii="宋体" w:hAnsi="宋体" w:eastAsia="宋体"/>
          <w:sz w:val="20"/>
          <w:szCs w:val="20"/>
        </w:rPr>
        <w:t>实验报告、读书报告、作品（选集</w:t>
      </w:r>
      <w:r>
        <w:rPr>
          <w:rFonts w:ascii="宋体" w:hAnsi="宋体" w:eastAsia="宋体"/>
          <w:sz w:val="20"/>
          <w:szCs w:val="20"/>
        </w:rPr>
        <w:t>）</w:t>
      </w:r>
      <w:r>
        <w:rPr>
          <w:rFonts w:hint="eastAsia" w:ascii="宋体" w:hAnsi="宋体" w:eastAsia="宋体"/>
          <w:sz w:val="20"/>
          <w:szCs w:val="20"/>
        </w:rPr>
        <w:t>、口试、课堂小测验、</w:t>
      </w:r>
      <w:r>
        <w:rPr>
          <w:rFonts w:ascii="宋体" w:hAnsi="宋体" w:eastAsia="宋体"/>
          <w:sz w:val="20"/>
          <w:szCs w:val="20"/>
        </w:rPr>
        <w:t>期终闭卷考、期终开卷考、</w:t>
      </w:r>
      <w:r>
        <w:rPr>
          <w:rFonts w:hint="eastAsia" w:ascii="宋体" w:hAnsi="宋体" w:eastAsia="宋体"/>
          <w:sz w:val="20"/>
          <w:szCs w:val="20"/>
        </w:rPr>
        <w:t>工作</w:t>
      </w:r>
      <w:r>
        <w:rPr>
          <w:rFonts w:ascii="宋体" w:hAnsi="宋体" w:eastAsia="宋体"/>
          <w:sz w:val="20"/>
          <w:szCs w:val="20"/>
        </w:rPr>
        <w:t>现场评估、</w:t>
      </w:r>
      <w:r>
        <w:rPr>
          <w:rFonts w:hint="eastAsia" w:ascii="宋体" w:hAnsi="宋体" w:eastAsia="宋体"/>
          <w:sz w:val="20"/>
          <w:szCs w:val="20"/>
        </w:rPr>
        <w:t>自我</w:t>
      </w:r>
      <w:r>
        <w:rPr>
          <w:rFonts w:ascii="宋体" w:hAnsi="宋体" w:eastAsia="宋体"/>
          <w:sz w:val="20"/>
          <w:szCs w:val="20"/>
        </w:rPr>
        <w:t>评估、</w:t>
      </w:r>
      <w:r>
        <w:rPr>
          <w:rFonts w:hint="eastAsia" w:ascii="宋体" w:hAnsi="宋体" w:eastAsia="宋体"/>
          <w:sz w:val="20"/>
          <w:szCs w:val="20"/>
        </w:rPr>
        <w:t>同辈</w:t>
      </w:r>
      <w:r>
        <w:rPr>
          <w:rFonts w:ascii="宋体" w:hAnsi="宋体" w:eastAsia="宋体"/>
          <w:sz w:val="20"/>
          <w:szCs w:val="20"/>
        </w:rPr>
        <w:t>评估</w:t>
      </w:r>
      <w:r>
        <w:rPr>
          <w:rFonts w:hint="eastAsia" w:ascii="宋体" w:hAnsi="宋体" w:eastAsia="宋体"/>
          <w:sz w:val="20"/>
          <w:szCs w:val="20"/>
        </w:rPr>
        <w:t>等等</w:t>
      </w:r>
      <w:r>
        <w:rPr>
          <w:rFonts w:ascii="宋体" w:hAnsi="宋体" w:eastAsia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ind w:firstLine="400" w:firstLineChars="200"/>
        <w:rPr>
          <w:rFonts w:ascii="宋体" w:hAnsi="宋体" w:eastAsia="宋体"/>
          <w:color w:val="000000"/>
          <w:sz w:val="20"/>
          <w:szCs w:val="20"/>
        </w:rPr>
      </w:pPr>
      <w:r>
        <w:rPr>
          <w:rFonts w:hint="eastAsia" w:ascii="宋体" w:hAnsi="宋体" w:eastAsia="宋体"/>
          <w:color w:val="000000"/>
          <w:sz w:val="20"/>
          <w:szCs w:val="20"/>
        </w:rPr>
        <w:t>同一门课程由多个教师共同授课的、由课程组共同讨论决定X的内容、次数及比例。</w:t>
      </w:r>
    </w:p>
    <w:p>
      <w:pPr>
        <w:snapToGrid w:val="0"/>
        <w:spacing w:line="288" w:lineRule="auto"/>
      </w:pPr>
    </w:p>
    <w:p>
      <w:pPr>
        <w:snapToGrid w:val="0"/>
        <w:spacing w:line="288" w:lineRule="auto"/>
      </w:pPr>
      <w:r>
        <w:rPr>
          <w:rFonts w:hint="eastAsia"/>
        </w:rPr>
        <w:t>撰写人：李欣田     系主任审核：        审核时间：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F72C5F"/>
    <w:rsid w:val="000456F4"/>
    <w:rsid w:val="000547EB"/>
    <w:rsid w:val="00076D51"/>
    <w:rsid w:val="00154700"/>
    <w:rsid w:val="0026080D"/>
    <w:rsid w:val="00336718"/>
    <w:rsid w:val="00336C74"/>
    <w:rsid w:val="003B4927"/>
    <w:rsid w:val="005036CE"/>
    <w:rsid w:val="00586631"/>
    <w:rsid w:val="005B31AF"/>
    <w:rsid w:val="005E648B"/>
    <w:rsid w:val="006A48B7"/>
    <w:rsid w:val="007721DA"/>
    <w:rsid w:val="00782CA2"/>
    <w:rsid w:val="0087168B"/>
    <w:rsid w:val="008968BF"/>
    <w:rsid w:val="008C7BBD"/>
    <w:rsid w:val="00A24EEE"/>
    <w:rsid w:val="00AB764D"/>
    <w:rsid w:val="00BE1213"/>
    <w:rsid w:val="00BF2B51"/>
    <w:rsid w:val="00D54432"/>
    <w:rsid w:val="00F56E94"/>
    <w:rsid w:val="06BE5FA3"/>
    <w:rsid w:val="0D8B2A05"/>
    <w:rsid w:val="125F263B"/>
    <w:rsid w:val="1383474E"/>
    <w:rsid w:val="13A4402E"/>
    <w:rsid w:val="14CD7EF5"/>
    <w:rsid w:val="14D00BAF"/>
    <w:rsid w:val="19B0416A"/>
    <w:rsid w:val="22392DCC"/>
    <w:rsid w:val="27D3019C"/>
    <w:rsid w:val="28965FAF"/>
    <w:rsid w:val="31DE00CA"/>
    <w:rsid w:val="36904EEF"/>
    <w:rsid w:val="410264AE"/>
    <w:rsid w:val="44F72C5F"/>
    <w:rsid w:val="65433B30"/>
    <w:rsid w:val="68672BDB"/>
    <w:rsid w:val="6EA324EA"/>
    <w:rsid w:val="77EF6BFB"/>
    <w:rsid w:val="7D3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322</Words>
  <Characters>1842</Characters>
  <Lines>15</Lines>
  <Paragraphs>4</Paragraphs>
  <TotalTime>0</TotalTime>
  <ScaleCrop>false</ScaleCrop>
  <LinksUpToDate>false</LinksUpToDate>
  <CharactersWithSpaces>2160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2017-09-21T08:09:00Z</dcterms:created>
  <dc:creator>admin</dc:creator>
  <cp:lastModifiedBy>欣田</cp:lastModifiedBy>
  <dcterms:modified xsi:type="dcterms:W3CDTF">2017-11-07T12:14:59Z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