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default" w:ascii="Times New Roman" w:hAnsi="Times New Roman" w:cs="Times New Roman"/>
          <w:sz w:val="6"/>
          <w:szCs w:val="6"/>
        </w:rPr>
      </w:pPr>
    </w:p>
    <w:p>
      <w:pPr>
        <w:snapToGrid w:val="0"/>
        <w:jc w:val="center"/>
        <w:rPr>
          <w:rFonts w:hint="default" w:ascii="Times New Roman" w:hAnsi="Times New Roman" w:cs="Times New Roman"/>
          <w:sz w:val="6"/>
          <w:szCs w:val="6"/>
        </w:rPr>
      </w:pPr>
    </w:p>
    <w:p>
      <w:pPr>
        <w:snapToGrid w:val="0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上海建桥学院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  <w:t>一</w:t>
      </w: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</w:rPr>
              <w:t>2030123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传媒经营管理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授课教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柳邦坤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450" w:firstLineChars="25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20047@gench.edu.cn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上课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360" w:firstLineChars="200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传播学B19-1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80" w:firstLineChars="60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二教201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周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二5、6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 xml:space="preserve">节或周四中午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地点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：新闻传播学院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新闻系办公室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《媒介管理学概论》，邵培仁 陈兵，高等教育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出版社201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传媒经营管理新论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》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（第二版）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谭云明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北京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大学出版社201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年版</w:t>
            </w:r>
          </w:p>
          <w:p>
            <w:pPr>
              <w:snapToGrid w:val="0"/>
              <w:spacing w:line="288" w:lineRule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媒介经营与管理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》，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严三九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华中科技大学出版社2012年版</w:t>
            </w:r>
          </w:p>
          <w:p>
            <w:pPr>
              <w:snapToGrid w:val="0"/>
              <w:spacing w:line="288" w:lineRule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媒介经营与管理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》，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谢新洲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北京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大学出版社201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年版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snapToGrid w:val="0"/>
        <w:spacing w:line="340" w:lineRule="exact"/>
        <w:rPr>
          <w:rFonts w:hint="default" w:ascii="Times New Roman" w:hAnsi="Times New Roman" w:eastAsia="宋体" w:cs="Times New Roman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499"/>
        <w:gridCol w:w="2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绪论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、第一章 媒介管理概述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本课程的教学内容、考核方式等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 xml:space="preserve">第二章 媒介产业与媒介组织 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媒介产业的属性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、特点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，媒介产业化的途径、媒介组织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 xml:space="preserve">第三章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媒介战略管理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媒介战略管理内涵，媒介战略环境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媒介战略选择、媒介战略实施、媒介战略控制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过程考核X1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 xml:space="preserve">第四章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媒介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领导</w:t>
            </w:r>
          </w:p>
          <w:p>
            <w:pPr>
              <w:widowControl/>
              <w:spacing w:beforeLines="50" w:afterLines="50" w:line="288" w:lineRule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媒介领导与领导者、媒介领导的本质与特点、媒介领导的权威与原则、媒介领导者的职责与素质、媒介领导者的选聘与组合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小组项目启动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 xml:space="preserve">第五章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媒介计划与决策</w:t>
            </w:r>
          </w:p>
          <w:p>
            <w:pPr>
              <w:widowControl/>
              <w:spacing w:beforeLines="50" w:afterLines="50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媒介计划的内涵、媒介计划工作，媒介决策的概念与特征、媒介决策的类型与程序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 xml:space="preserve">第六章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媒介生产与媒介产品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媒介生产、媒介产品，媒介产品包括的类型、媒介产品的价格策略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过程考核X1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 xml:space="preserve">第七章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媒介市场与媒介营销</w:t>
            </w:r>
          </w:p>
          <w:p>
            <w:pPr>
              <w:widowControl/>
              <w:spacing w:beforeLines="50" w:afterLines="5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媒介市场、信息消费者、媒介营销原理、媒介营销策略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过程考核X2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  <w:t>第八章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媒介人力资源管理</w:t>
            </w:r>
          </w:p>
          <w:p>
            <w:pPr>
              <w:widowControl/>
              <w:spacing w:beforeLines="50" w:afterLines="5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媒介人力资源的内涵、媒介人才的选择与任用、媒介员工的培训与发展、媒介人员实绩考核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88" w:lineRule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 xml:space="preserve">第九章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媒介财务管理</w:t>
            </w:r>
          </w:p>
          <w:p>
            <w:pPr>
              <w:widowControl/>
              <w:spacing w:beforeLines="50" w:afterLines="50" w:line="288" w:lineRule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媒介财务管理概述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媒介财务管理的内容，媒介财务分析与预算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88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 xml:space="preserve">第十章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媒介管理与社会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媒介管理与文化、媒介管理与政策法规、媒介管理与伦理道德问题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过程考核X3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 xml:space="preserve">第十一章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报刊业经营管理</w:t>
            </w:r>
          </w:p>
          <w:p>
            <w:pPr>
              <w:widowControl/>
              <w:spacing w:beforeLines="50" w:afterLines="50" w:line="288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报刊业状况，报刊的生产和经营、报刊的发行和销售、报刊的数字出版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过程考核X1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88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 xml:space="preserve">第十二章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广播影视业经营管理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广播影视业，广播经营管理、电视经营管理、电影经营管理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过程考核X1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88" w:lineRule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 xml:space="preserve">第十三章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新媒体业经营管理</w:t>
            </w:r>
          </w:p>
          <w:p>
            <w:pPr>
              <w:widowControl/>
              <w:spacing w:beforeLines="50" w:afterLines="50" w:line="288" w:lineRule="auto"/>
              <w:jc w:val="both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新媒体概述，新媒体产业的现状、问题与突围，新媒体经营的特点、规则与盈利模式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过程考核X1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 xml:space="preserve">第十四章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广告经营管理</w:t>
            </w:r>
          </w:p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广告经营管理概述，分析广告公司的经营管理、媒体的广告经营管理、企业的广告经营管理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ind w:firstLine="900" w:firstLineChars="500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过程考核X1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小组项目成果展示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position w:val="-20"/>
                <w:sz w:val="18"/>
                <w:szCs w:val="18"/>
                <w:lang w:eastAsia="zh-CN"/>
              </w:rPr>
              <w:t>汇报、师生评价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过程考核X4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小组项目成果展示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position w:val="-20"/>
                <w:sz w:val="18"/>
                <w:szCs w:val="18"/>
                <w:lang w:eastAsia="zh-CN"/>
              </w:rPr>
              <w:t>汇报、师生评价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过程考核X4</w:t>
            </w:r>
          </w:p>
        </w:tc>
      </w:tr>
    </w:tbl>
    <w:p>
      <w:pPr>
        <w:snapToGrid w:val="0"/>
        <w:jc w:val="both"/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  <w:t>在总评</w:t>
      </w: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  <w:t>成绩</w:t>
      </w: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  <w:t>中的比</w:t>
      </w: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总评构成（1+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X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360" w:firstLineChars="20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课堂表现，包括出勤率、课堂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提问与讨论等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18"/>
                <w:szCs w:val="18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X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调查报告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8"/>
                <w:szCs w:val="1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X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个人项目报告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18"/>
                <w:szCs w:val="1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0"/>
              </w:rPr>
              <w:t>X</w:t>
            </w: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小组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18"/>
                <w:szCs w:val="18"/>
              </w:rPr>
              <w:t>0%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Times New Roman" w:hAnsi="Times New Roman" w:eastAsia="仿宋" w:cs="Times New Roman"/>
          <w:color w:val="000000"/>
          <w:position w:val="-20"/>
          <w:lang w:eastAsia="zh-CN"/>
        </w:rPr>
      </w:pPr>
      <w:bookmarkStart w:id="0" w:name="_GoBack"/>
      <w:bookmarkEnd w:id="0"/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Times New Roman" w:hAnsi="Times New Roman" w:eastAsia="仿宋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position w:val="-20"/>
          <w:sz w:val="21"/>
          <w:szCs w:val="21"/>
        </w:rPr>
        <w:t>任课教师：</w:t>
      </w:r>
      <w:r>
        <w:rPr>
          <w:rFonts w:hint="default" w:ascii="Times New Roman" w:hAnsi="Times New Roman" w:eastAsia="仿宋" w:cs="Times New Roman"/>
          <w:color w:val="000000"/>
          <w:position w:val="-20"/>
          <w:sz w:val="21"/>
          <w:szCs w:val="21"/>
          <w:lang w:eastAsia="zh-CN"/>
        </w:rPr>
        <w:t>柳邦坤    系</w:t>
      </w:r>
      <w:r>
        <w:rPr>
          <w:rFonts w:hint="default" w:ascii="Times New Roman" w:hAnsi="Times New Roman" w:eastAsia="仿宋" w:cs="Times New Roman"/>
          <w:color w:val="000000"/>
          <w:position w:val="-20"/>
          <w:sz w:val="21"/>
          <w:szCs w:val="21"/>
        </w:rPr>
        <w:t>主任审核：</w:t>
      </w:r>
      <w:r>
        <w:rPr>
          <w:rFonts w:hint="default" w:ascii="Times New Roman" w:hAnsi="Times New Roman" w:eastAsia="仿宋" w:cs="Times New Roman"/>
          <w:color w:val="000000"/>
          <w:position w:val="-20"/>
          <w:sz w:val="21"/>
          <w:szCs w:val="21"/>
          <w:lang w:eastAsia="zh-CN"/>
        </w:rPr>
        <w:t xml:space="preserve">沈慧萍  </w:t>
      </w:r>
      <w:r>
        <w:rPr>
          <w:rFonts w:hint="default" w:ascii="Times New Roman" w:hAnsi="Times New Roman" w:eastAsia="仿宋" w:cs="Times New Roman"/>
          <w:color w:val="000000"/>
          <w:position w:val="-20"/>
          <w:sz w:val="21"/>
          <w:szCs w:val="21"/>
        </w:rPr>
        <w:t xml:space="preserve"> 日期：</w:t>
      </w:r>
      <w:r>
        <w:rPr>
          <w:rFonts w:hint="default" w:ascii="Times New Roman" w:hAnsi="Times New Roman" w:eastAsia="仿宋" w:cs="Times New Roman"/>
          <w:color w:val="000000"/>
          <w:position w:val="-20"/>
          <w:sz w:val="21"/>
          <w:szCs w:val="21"/>
          <w:lang w:eastAsia="zh-CN"/>
        </w:rPr>
        <w:t>2020年9月12日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0030101010101"/>
    <w:charset w:val="88"/>
    <w:family w:val="swiss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2049" o:spid="_x0000_s2049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3888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97339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124A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031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5EA9"/>
    <w:rsid w:val="006044A3"/>
    <w:rsid w:val="00605998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2562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2F0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5868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066B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2310"/>
    <w:rsid w:val="00FB35EE"/>
    <w:rsid w:val="00FB4AE3"/>
    <w:rsid w:val="00FD313C"/>
    <w:rsid w:val="00FE319F"/>
    <w:rsid w:val="00FE6709"/>
    <w:rsid w:val="00FF2D60"/>
    <w:rsid w:val="0250298D"/>
    <w:rsid w:val="04E63C7E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95282B-CE27-4DD3-9D9D-20C7E7006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202</Words>
  <Characters>1154</Characters>
  <Lines>9</Lines>
  <Paragraphs>2</Paragraphs>
  <TotalTime>59</TotalTime>
  <ScaleCrop>false</ScaleCrop>
  <LinksUpToDate>false</LinksUpToDate>
  <CharactersWithSpaces>1354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2020-09-14T02:44:23Z</dcterms:modified>
  <dc:title>上海建桥学院教学进度计划表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